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仿宋_GB2312" w:eastAsia="仿宋_GB2312"/>
          <w:b/>
          <w:sz w:val="44"/>
          <w:szCs w:val="44"/>
        </w:rPr>
      </w:pPr>
    </w:p>
    <w:p>
      <w:pPr>
        <w:spacing w:line="480" w:lineRule="auto"/>
        <w:jc w:val="center"/>
        <w:rPr>
          <w:rFonts w:ascii="仿宋_GB2312" w:eastAsia="仿宋_GB2312"/>
          <w:b/>
          <w:sz w:val="44"/>
          <w:szCs w:val="44"/>
        </w:rPr>
      </w:pPr>
    </w:p>
    <w:p>
      <w:pPr>
        <w:spacing w:line="480" w:lineRule="auto"/>
        <w:jc w:val="center"/>
        <w:rPr>
          <w:rFonts w:ascii="仿宋_GB2312" w:eastAsia="仿宋_GB2312"/>
          <w:b/>
          <w:sz w:val="44"/>
          <w:szCs w:val="44"/>
        </w:rPr>
      </w:pPr>
    </w:p>
    <w:p>
      <w:pPr>
        <w:spacing w:line="480" w:lineRule="auto"/>
        <w:jc w:val="center"/>
        <w:rPr>
          <w:rFonts w:ascii="仿宋_GB2312" w:eastAsia="仿宋_GB2312"/>
          <w:b/>
          <w:sz w:val="44"/>
          <w:szCs w:val="44"/>
        </w:rPr>
      </w:pPr>
    </w:p>
    <w:p>
      <w:pPr>
        <w:spacing w:line="480" w:lineRule="auto"/>
        <w:jc w:val="center"/>
        <w:rPr>
          <w:rFonts w:ascii="仿宋_GB2312" w:eastAsia="仿宋_GB2312"/>
          <w:b/>
          <w:sz w:val="44"/>
          <w:szCs w:val="44"/>
        </w:rPr>
      </w:pPr>
    </w:p>
    <w:p>
      <w:pPr>
        <w:spacing w:line="480" w:lineRule="auto"/>
        <w:jc w:val="center"/>
        <w:rPr>
          <w:rFonts w:ascii="仿宋_GB2312" w:eastAsia="仿宋_GB2312"/>
          <w:b/>
          <w:sz w:val="44"/>
          <w:szCs w:val="44"/>
        </w:rPr>
      </w:pPr>
    </w:p>
    <w:p>
      <w:pPr>
        <w:spacing w:line="480" w:lineRule="auto"/>
        <w:jc w:val="center"/>
        <w:rPr>
          <w:rFonts w:ascii="仿宋_GB2312" w:eastAsia="仿宋_GB2312"/>
          <w:b/>
          <w:sz w:val="44"/>
          <w:szCs w:val="44"/>
        </w:rPr>
      </w:pPr>
      <w:r>
        <w:rPr>
          <w:rFonts w:hint="eastAsia" w:ascii="仿宋_GB2312" w:eastAsia="仿宋_GB2312"/>
          <w:b/>
          <w:sz w:val="44"/>
          <w:szCs w:val="44"/>
        </w:rPr>
        <mc:AlternateContent>
          <mc:Choice Requires="wps">
            <w:drawing>
              <wp:anchor distT="0" distB="0" distL="114300" distR="114300" simplePos="0" relativeHeight="251663360" behindDoc="0" locked="0" layoutInCell="1" allowOverlap="1">
                <wp:simplePos x="0" y="0"/>
                <wp:positionH relativeFrom="column">
                  <wp:posOffset>-32385</wp:posOffset>
                </wp:positionH>
                <wp:positionV relativeFrom="paragraph">
                  <wp:posOffset>1024255</wp:posOffset>
                </wp:positionV>
                <wp:extent cx="5638165" cy="28575"/>
                <wp:effectExtent l="0" t="0" r="19685" b="28575"/>
                <wp:wrapNone/>
                <wp:docPr id="7" name="直接连接符 7"/>
                <wp:cNvGraphicFramePr/>
                <a:graphic xmlns:a="http://schemas.openxmlformats.org/drawingml/2006/main">
                  <a:graphicData uri="http://schemas.microsoft.com/office/word/2010/wordprocessingShape">
                    <wps:wsp>
                      <wps:cNvCnPr/>
                      <wps:spPr>
                        <a:xfrm>
                          <a:off x="0" y="0"/>
                          <a:ext cx="5638165" cy="28575"/>
                        </a:xfrm>
                        <a:prstGeom prst="line">
                          <a:avLst/>
                        </a:prstGeom>
                        <a:ln w="12700" cap="flat" cmpd="sng">
                          <a:solidFill>
                            <a:srgbClr val="FF0000"/>
                          </a:solidFill>
                          <a:prstDash val="solid"/>
                          <a:headEnd type="none" w="med" len="med"/>
                          <a:tailEnd type="none" w="med" len="med"/>
                        </a:ln>
                      </wps:spPr>
                      <wps:bodyPr/>
                    </wps:wsp>
                  </a:graphicData>
                </a:graphic>
              </wp:anchor>
            </w:drawing>
          </mc:Choice>
          <mc:Fallback>
            <w:pict>
              <v:line id="_x0000_s1026" o:spid="_x0000_s1026" o:spt="20" style="position:absolute;left:0pt;margin-left:-2.55pt;margin-top:80.65pt;height:2.25pt;width:443.95pt;z-index:251663360;mso-width-relative:page;mso-height-relative:page;" filled="f" stroked="t" coordsize="21600,21600" o:gfxdata="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28M1dNgAAAAKAQAADwAAAAAAAAABACAAAAAiAAAAZHJzL2Rvd25yZXYueG1sUEsBAhQA&#10;FAAAAAgAh07iQJkjDLvyAQAA3QMAAA4AAAAAAAAAAQAgAAAAJwEAAGRycy9lMm9Eb2MueG1sUEsF&#10;BgAAAAAGAAYAWQEAAIsFAAAAAA==&#10;">
                <v:fill on="f" focussize="0,0"/>
                <v:stroke weight="1pt" color="#FF0000" joinstyle="round"/>
                <v:imagedata o:title=""/>
                <o:lock v:ext="edit" aspectratio="f"/>
              </v:line>
            </w:pict>
          </mc:Fallback>
        </mc:AlternateContent>
      </w:r>
      <w:r>
        <w:rPr>
          <w:rFonts w:hint="eastAsia" w:ascii="仿宋_GB2312" w:eastAsia="仿宋_GB2312"/>
          <w:b/>
          <w:sz w:val="44"/>
          <w:szCs w:val="44"/>
        </w:rPr>
        <mc:AlternateContent>
          <mc:Choice Requires="wps">
            <w:drawing>
              <wp:anchor distT="0" distB="0" distL="114300" distR="114300" simplePos="0" relativeHeight="251662336" behindDoc="1" locked="0" layoutInCell="1" allowOverlap="1">
                <wp:simplePos x="0" y="0"/>
                <wp:positionH relativeFrom="column">
                  <wp:posOffset>-161925</wp:posOffset>
                </wp:positionH>
                <wp:positionV relativeFrom="paragraph">
                  <wp:posOffset>-896620</wp:posOffset>
                </wp:positionV>
                <wp:extent cx="5991860" cy="1168400"/>
                <wp:effectExtent l="0" t="0" r="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5991860" cy="1168400"/>
                        </a:xfrm>
                        <a:prstGeom prst="rect">
                          <a:avLst/>
                        </a:prstGeom>
                        <a:noFill/>
                        <a:ln>
                          <a:noFill/>
                        </a:ln>
                        <a:effectLst/>
                      </wps:spPr>
                      <wps:txbx>
                        <w:txbxContent>
                          <w:p>
                            <w:pPr>
                              <w:spacing w:line="240" w:lineRule="atLeast"/>
                              <w:jc w:val="center"/>
                              <w:rPr>
                                <w:rFonts w:hint="eastAsia" w:ascii="黑体" w:hAnsi="黑体" w:eastAsia="黑体" w:cs="黑体"/>
                                <w:spacing w:val="-8"/>
                                <w:w w:val="66"/>
                                <w:sz w:val="84"/>
                                <w:szCs w:val="84"/>
                              </w:rPr>
                            </w:pPr>
                            <w:r>
                              <w:rPr>
                                <w:rFonts w:hint="eastAsia" w:ascii="黑体" w:hAnsi="黑体" w:eastAsia="黑体" w:cs="黑体"/>
                                <w:color w:val="FF0000"/>
                                <w:spacing w:val="-8"/>
                                <w:w w:val="66"/>
                                <w:sz w:val="84"/>
                                <w:szCs w:val="84"/>
                              </w:rPr>
                              <w:t>西北农林科技大学动物科技学院文件</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2.75pt;margin-top:-70.6pt;height:92pt;width:471.8pt;z-index:-251654144;mso-width-relative:page;mso-height-relative:page;" filled="f" stroked="f" coordsize="21600,21600" o:gfxdata="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s8mnfYAAAA&#10;CwEAAA8AAAAAAAAAAQAgAAAAIgAAAGRycy9kb3ducmV2LnhtbFBLAQIUABQAAAAIAIdO4kCSXikh&#10;HQIAACQEAAAOAAAAAAAAAAEAIAAAACcBAABkcnMvZTJvRG9jLnhtbFBLBQYAAAAABgAGAFkBAAC2&#10;BQAAAAA=&#10;">
                <v:fill on="f" focussize="0,0"/>
                <v:stroke on="f"/>
                <v:imagedata o:title=""/>
                <o:lock v:ext="edit" aspectratio="f"/>
                <v:textbox>
                  <w:txbxContent>
                    <w:p>
                      <w:pPr>
                        <w:spacing w:line="240" w:lineRule="atLeast"/>
                        <w:jc w:val="center"/>
                        <w:rPr>
                          <w:rFonts w:hint="eastAsia" w:ascii="黑体" w:hAnsi="黑体" w:eastAsia="黑体" w:cs="黑体"/>
                          <w:spacing w:val="-8"/>
                          <w:w w:val="66"/>
                          <w:sz w:val="84"/>
                          <w:szCs w:val="84"/>
                        </w:rPr>
                      </w:pPr>
                      <w:r>
                        <w:rPr>
                          <w:rFonts w:hint="eastAsia" w:ascii="黑体" w:hAnsi="黑体" w:eastAsia="黑体" w:cs="黑体"/>
                          <w:color w:val="FF0000"/>
                          <w:spacing w:val="-8"/>
                          <w:w w:val="66"/>
                          <w:sz w:val="84"/>
                          <w:szCs w:val="84"/>
                        </w:rPr>
                        <w:t>西北农林科技大学动物科技学院文件</w:t>
                      </w:r>
                    </w:p>
                  </w:txbxContent>
                </v:textbox>
              </v:shape>
            </w:pict>
          </mc:Fallback>
        </mc:AlternateContent>
      </w:r>
    </w:p>
    <w:p>
      <w:pPr>
        <w:spacing w:before="156" w:beforeLines="50" w:line="480" w:lineRule="auto"/>
        <w:jc w:val="center"/>
        <w:rPr>
          <w:rFonts w:ascii="仿宋_GB2312" w:eastAsia="仿宋_GB2312"/>
          <w:color w:val="000000"/>
          <w:sz w:val="32"/>
          <w:szCs w:val="32"/>
        </w:rPr>
      </w:pPr>
      <w:r>
        <w:rPr>
          <w:rFonts w:hint="eastAsia" w:ascii="仿宋_GB2312" w:eastAsia="仿宋_GB2312"/>
          <w:color w:val="000000"/>
          <w:sz w:val="32"/>
          <w:szCs w:val="32"/>
        </w:rPr>
        <w:t>动科〔202</w:t>
      </w:r>
      <w:r>
        <w:rPr>
          <w:rFonts w:ascii="仿宋_GB2312" w:eastAsia="仿宋_GB2312"/>
          <w:color w:val="000000"/>
          <w:sz w:val="32"/>
          <w:szCs w:val="32"/>
        </w:rPr>
        <w:t>3</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号</w:t>
      </w:r>
    </w:p>
    <w:p>
      <w:pPr>
        <w:widowControl/>
        <w:spacing w:line="560" w:lineRule="exact"/>
        <w:rPr>
          <w:rFonts w:ascii="宋体" w:hAnsi="宋体" w:cs="宋体"/>
          <w:b/>
          <w:kern w:val="0"/>
          <w:sz w:val="32"/>
          <w:szCs w:val="32"/>
        </w:rPr>
      </w:pPr>
    </w:p>
    <w:p>
      <w:pPr>
        <w:widowControl/>
        <w:spacing w:line="560" w:lineRule="exact"/>
        <w:rPr>
          <w:rFonts w:ascii="宋体" w:hAnsi="宋体" w:cs="宋体"/>
          <w:b/>
          <w:kern w:val="0"/>
          <w:sz w:val="32"/>
          <w:szCs w:val="32"/>
        </w:rPr>
      </w:pPr>
    </w:p>
    <w:p>
      <w:pPr>
        <w:widowControl/>
        <w:spacing w:line="560" w:lineRule="exact"/>
        <w:jc w:val="center"/>
        <w:rPr>
          <w:rFonts w:ascii="sans-serif" w:hAnsi="sans-serif" w:eastAsia="sans-serif" w:cs="sans-serif"/>
          <w:i w:val="0"/>
          <w:iCs w:val="0"/>
          <w:caps w:val="0"/>
          <w:spacing w:val="0"/>
          <w:sz w:val="54"/>
          <w:szCs w:val="54"/>
          <w:shd w:val="clear" w:fill="FFFFFF"/>
        </w:rPr>
      </w:pPr>
      <w:r>
        <w:rPr>
          <w:rFonts w:hint="eastAsia" w:ascii="黑体" w:hAnsi="黑体" w:eastAsia="黑体" w:cs="黑体"/>
          <w:i w:val="0"/>
          <w:iCs w:val="0"/>
          <w:caps w:val="0"/>
          <w:spacing w:val="0"/>
          <w:sz w:val="48"/>
          <w:szCs w:val="48"/>
          <w:shd w:val="clear" w:fill="FFFFFF"/>
        </w:rPr>
        <w:t>关于印发《动物科技学院推荐、接收优秀应届本科毕业生免试攻读研究生实施细则》的通知</w:t>
      </w:r>
    </w:p>
    <w:p>
      <w:pPr>
        <w:widowControl/>
        <w:tabs>
          <w:tab w:val="left" w:pos="840"/>
        </w:tabs>
        <w:spacing w:before="156" w:beforeLines="50" w:line="560" w:lineRule="exact"/>
        <w:jc w:val="left"/>
        <w:rPr>
          <w:rFonts w:ascii="仿宋" w:hAnsi="仿宋" w:eastAsia="仿宋"/>
          <w:color w:val="000000"/>
          <w:sz w:val="32"/>
          <w:szCs w:val="32"/>
        </w:rPr>
      </w:pPr>
      <w:r>
        <w:rPr>
          <w:rFonts w:hint="eastAsia" w:ascii="仿宋" w:hAnsi="仿宋" w:eastAsia="仿宋"/>
          <w:color w:val="000000"/>
          <w:sz w:val="32"/>
          <w:szCs w:val="32"/>
        </w:rPr>
        <w:t>各</w:t>
      </w:r>
      <w:r>
        <w:rPr>
          <w:rFonts w:hint="eastAsia" w:ascii="仿宋" w:hAnsi="仿宋" w:eastAsia="仿宋" w:cs="宋体"/>
          <w:color w:val="000000"/>
          <w:kern w:val="0"/>
          <w:sz w:val="32"/>
          <w:szCs w:val="32"/>
        </w:rPr>
        <w:t>院</w:t>
      </w:r>
      <w:r>
        <w:rPr>
          <w:rFonts w:hint="eastAsia" w:ascii="仿宋" w:hAnsi="仿宋" w:eastAsia="仿宋"/>
          <w:color w:val="000000"/>
          <w:sz w:val="32"/>
          <w:szCs w:val="32"/>
        </w:rPr>
        <w:t>属单位：</w:t>
      </w:r>
    </w:p>
    <w:p>
      <w:pPr>
        <w:spacing w:line="560" w:lineRule="exact"/>
        <w:ind w:firstLine="640" w:firstLineChars="200"/>
        <w:rPr>
          <w:rFonts w:ascii="仿宋" w:hAnsi="仿宋" w:eastAsia="仿宋"/>
          <w:color w:val="FF0000"/>
          <w:sz w:val="32"/>
          <w:szCs w:val="32"/>
        </w:rPr>
      </w:pPr>
      <w:r>
        <w:rPr>
          <w:rFonts w:hint="eastAsia" w:ascii="仿宋" w:hAnsi="仿宋" w:eastAsia="仿宋"/>
          <w:color w:val="000000"/>
          <w:sz w:val="32"/>
          <w:szCs w:val="32"/>
        </w:rPr>
        <w:t>为进一步做好学院推荐、接收优秀应届本科毕业生免试攻读硕士学位研究生（以下简称“推免生”）工作，加大拔尖创新人才选拔培养力度，激励学生勤奋学习，制定《动物科技学院推荐、接收优秀应届本科毕业生免试攻读研究生实施细则》，经11月</w:t>
      </w: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 xml:space="preserve">日学院党政联席会议审议通过。现予以印发，请遵照执行。                         </w:t>
      </w:r>
      <w:r>
        <w:rPr>
          <w:rFonts w:hint="eastAsia" w:ascii="仿宋" w:hAnsi="仿宋" w:eastAsia="仿宋"/>
          <w:color w:val="FF0000"/>
          <w:sz w:val="32"/>
          <w:szCs w:val="32"/>
        </w:rPr>
        <w:t xml:space="preserve">  </w:t>
      </w:r>
    </w:p>
    <w:p>
      <w:pPr>
        <w:spacing w:line="560" w:lineRule="exact"/>
        <w:ind w:right="1280"/>
        <w:rPr>
          <w:rFonts w:ascii="仿宋" w:hAnsi="仿宋" w:eastAsia="仿宋"/>
          <w:sz w:val="32"/>
          <w:szCs w:val="32"/>
        </w:rPr>
      </w:pPr>
    </w:p>
    <w:p>
      <w:pPr>
        <w:spacing w:line="560" w:lineRule="exact"/>
        <w:ind w:right="1280"/>
        <w:jc w:val="center"/>
        <w:rPr>
          <w:rFonts w:ascii="仿宋" w:hAnsi="仿宋" w:eastAsia="仿宋"/>
          <w:sz w:val="32"/>
          <w:szCs w:val="32"/>
        </w:rPr>
      </w:pPr>
      <w:r>
        <w:rPr>
          <w:rFonts w:hint="eastAsia" w:ascii="仿宋" w:hAnsi="仿宋" w:eastAsia="仿宋"/>
          <w:sz w:val="32"/>
          <w:szCs w:val="32"/>
        </w:rPr>
        <w:t xml:space="preserve">               西北农林</w:t>
      </w:r>
      <w:r>
        <w:rPr>
          <w:rFonts w:ascii="仿宋" w:hAnsi="仿宋" w:eastAsia="仿宋"/>
          <w:sz w:val="32"/>
          <w:szCs w:val="32"/>
        </w:rPr>
        <w:t>科技大学动物科技学院</w:t>
      </w:r>
    </w:p>
    <w:p>
      <w:pPr>
        <w:spacing w:line="560" w:lineRule="exact"/>
        <w:ind w:right="1280"/>
        <w:jc w:val="center"/>
        <w:rPr>
          <w:rFonts w:ascii="仿宋" w:hAnsi="仿宋" w:eastAsia="仿宋"/>
          <w:sz w:val="32"/>
          <w:szCs w:val="32"/>
        </w:rPr>
      </w:pPr>
      <w:r>
        <w:rPr>
          <w:rFonts w:ascii="仿宋" w:hAnsi="仿宋" w:eastAsia="仿宋"/>
          <w:sz w:val="32"/>
          <w:szCs w:val="32"/>
        </w:rPr>
        <w:t xml:space="preserve">                     2023</w:t>
      </w:r>
      <w:r>
        <w:rPr>
          <w:rFonts w:hint="eastAsia" w:ascii="仿宋" w:hAnsi="仿宋" w:eastAsia="仿宋"/>
          <w:sz w:val="32"/>
          <w:szCs w:val="32"/>
        </w:rPr>
        <w:t>年11月</w:t>
      </w:r>
      <w:r>
        <w:rPr>
          <w:rFonts w:hint="eastAsia" w:ascii="仿宋" w:hAnsi="仿宋" w:eastAsia="仿宋"/>
          <w:sz w:val="32"/>
          <w:szCs w:val="32"/>
          <w:lang w:val="en-US" w:eastAsia="zh-CN"/>
        </w:rPr>
        <w:t>27</w:t>
      </w:r>
      <w:r>
        <w:rPr>
          <w:rFonts w:hint="eastAsia" w:ascii="仿宋" w:hAnsi="仿宋" w:eastAsia="仿宋"/>
          <w:sz w:val="32"/>
          <w:szCs w:val="32"/>
        </w:rPr>
        <w:t>日</w:t>
      </w:r>
    </w:p>
    <w:p>
      <w:pPr>
        <w:widowControl/>
        <w:jc w:val="left"/>
        <w:rPr>
          <w:rFonts w:ascii="方正小标宋简体" w:hAnsi="方正小标宋简体" w:eastAsia="方正小标宋简体"/>
          <w:sz w:val="44"/>
          <w:szCs w:val="44"/>
        </w:rPr>
      </w:pPr>
      <w:r>
        <w:rPr>
          <w:rFonts w:ascii="方正小标宋简体" w:hAnsi="方正小标宋简体" w:eastAsia="方正小标宋简体"/>
          <w:sz w:val="44"/>
          <w:szCs w:val="44"/>
        </w:rPr>
        <w:br w:type="page"/>
      </w:r>
    </w:p>
    <w:p>
      <w:pPr>
        <w:spacing w:line="560" w:lineRule="exact"/>
        <w:jc w:val="center"/>
        <w:rPr>
          <w:rFonts w:hint="eastAsia" w:ascii="黑体" w:hAnsi="黑体" w:eastAsia="黑体" w:cs="黑体"/>
          <w:sz w:val="44"/>
          <w:szCs w:val="44"/>
        </w:rPr>
      </w:pPr>
      <w:r>
        <w:rPr>
          <w:rFonts w:hint="eastAsia" w:ascii="黑体" w:hAnsi="黑体" w:eastAsia="黑体" w:cs="黑体"/>
          <w:sz w:val="44"/>
          <w:szCs w:val="44"/>
        </w:rPr>
        <w:t>动物科技学院推荐、接收优秀应届本科毕业生免试攻读研究生实施细则</w:t>
      </w:r>
    </w:p>
    <w:p>
      <w:pPr>
        <w:adjustRightInd w:val="0"/>
        <w:spacing w:before="156" w:beforeLines="50" w:after="156" w:afterLines="50"/>
        <w:jc w:val="center"/>
        <w:rPr>
          <w:rFonts w:ascii="黑体" w:hAnsi="黑体" w:eastAsia="黑体" w:cs="黑体"/>
          <w:b/>
          <w:sz w:val="32"/>
          <w:szCs w:val="32"/>
        </w:rPr>
      </w:pPr>
      <w:r>
        <w:rPr>
          <w:rFonts w:hint="eastAsia" w:ascii="黑体" w:hAnsi="黑体" w:eastAsia="黑体" w:cs="黑体"/>
          <w:b/>
          <w:sz w:val="32"/>
          <w:szCs w:val="32"/>
        </w:rPr>
        <w:t>第一章  总则</w:t>
      </w:r>
    </w:p>
    <w:p>
      <w:pPr>
        <w:ind w:firstLine="643" w:firstLineChars="200"/>
        <w:rPr>
          <w:rFonts w:ascii="仿宋_GB2312" w:hAnsi="华文中宋" w:eastAsia="仿宋_GB2312"/>
          <w:b/>
          <w:bCs/>
          <w:sz w:val="32"/>
          <w:szCs w:val="32"/>
        </w:rPr>
      </w:pPr>
      <w:r>
        <w:rPr>
          <w:rFonts w:hint="eastAsia" w:ascii="仿宋_GB2312" w:hAnsi="宋体" w:eastAsia="仿宋_GB2312" w:cs="仿宋_GB2312"/>
          <w:b/>
          <w:bCs/>
          <w:sz w:val="32"/>
          <w:szCs w:val="32"/>
        </w:rPr>
        <w:t xml:space="preserve">第一条  </w:t>
      </w:r>
      <w:r>
        <w:rPr>
          <w:rFonts w:hint="eastAsia" w:ascii="仿宋_GB2312" w:hAnsi="宋体" w:eastAsia="仿宋_GB2312" w:cs="仿宋_GB2312"/>
          <w:sz w:val="32"/>
          <w:szCs w:val="32"/>
        </w:rPr>
        <w:t>为进一步</w:t>
      </w:r>
      <w:r>
        <w:rPr>
          <w:rFonts w:hint="eastAsia" w:ascii="仿宋_GB2312" w:hAnsi="宋体" w:eastAsia="仿宋_GB2312" w:cs="仿宋_GB2312"/>
          <w:sz w:val="32"/>
          <w:szCs w:val="32"/>
          <w:lang w:val="en-US" w:eastAsia="zh-CN"/>
        </w:rPr>
        <w:t>做好</w:t>
      </w:r>
      <w:r>
        <w:rPr>
          <w:rFonts w:hint="eastAsia" w:ascii="仿宋_GB2312" w:hAnsi="宋体" w:eastAsia="仿宋_GB2312" w:cs="仿宋_GB2312"/>
          <w:sz w:val="32"/>
          <w:szCs w:val="32"/>
        </w:rPr>
        <w:t>学院推荐、接收优秀应届本科毕业生免试攻读硕士学位研究生（以下简称“推免生”）工作，加大拔尖创新人才选拔培养力度，激励学生勤奋学习，根据学校推免工作相关文件精神，结合学院实际，制定本实施细则。</w:t>
      </w:r>
    </w:p>
    <w:p>
      <w:pPr>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 xml:space="preserve">第二条  </w:t>
      </w:r>
      <w:r>
        <w:rPr>
          <w:rFonts w:hint="eastAsia" w:ascii="仿宋_GB2312" w:hAnsi="宋体" w:eastAsia="仿宋_GB2312" w:cs="仿宋_GB2312"/>
          <w:sz w:val="32"/>
          <w:szCs w:val="32"/>
        </w:rPr>
        <w:t>本实施细则所称应届本科毕业生指符合学校推免工作相关文件规定的学院应届本科毕业生。</w:t>
      </w:r>
    </w:p>
    <w:p>
      <w:pPr>
        <w:ind w:firstLine="643" w:firstLineChars="200"/>
        <w:rPr>
          <w:rFonts w:ascii="仿宋_GB2312" w:hAnsi="宋体" w:eastAsia="仿宋_GB2312" w:cs="仿宋_GB2312"/>
          <w:sz w:val="32"/>
          <w:szCs w:val="32"/>
        </w:rPr>
      </w:pPr>
      <w:r>
        <w:rPr>
          <w:rFonts w:hint="eastAsia" w:ascii="仿宋_GB2312" w:hAnsi="宋体" w:eastAsia="仿宋_GB2312" w:cs="仿宋_GB2312"/>
          <w:b/>
          <w:sz w:val="32"/>
          <w:szCs w:val="32"/>
        </w:rPr>
        <w:t>第三条</w:t>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非学院应届毕业生由所在单位推荐，动物科技学院根据本实施细则进行考核接收。</w:t>
      </w:r>
    </w:p>
    <w:p>
      <w:pPr>
        <w:adjustRightInd w:val="0"/>
        <w:spacing w:before="156" w:beforeLines="50" w:after="156" w:afterLines="50"/>
        <w:jc w:val="center"/>
        <w:rPr>
          <w:rFonts w:ascii="黑体" w:hAnsi="黑体" w:eastAsia="黑体" w:cs="黑体"/>
          <w:b/>
          <w:sz w:val="32"/>
          <w:szCs w:val="32"/>
        </w:rPr>
      </w:pPr>
      <w:r>
        <w:rPr>
          <w:rFonts w:hint="eastAsia" w:ascii="黑体" w:hAnsi="黑体" w:eastAsia="黑体" w:cs="黑体"/>
          <w:b/>
          <w:sz w:val="32"/>
          <w:szCs w:val="32"/>
        </w:rPr>
        <w:t>第二章  组织机构</w:t>
      </w:r>
    </w:p>
    <w:p>
      <w:pPr>
        <w:ind w:firstLine="643" w:firstLineChars="200"/>
        <w:rPr>
          <w:rFonts w:ascii="仿宋_GB2312" w:hAnsi="宋体" w:eastAsia="仿宋_GB2312"/>
          <w:sz w:val="32"/>
          <w:szCs w:val="32"/>
        </w:rPr>
      </w:pPr>
      <w:r>
        <w:rPr>
          <w:rFonts w:hint="eastAsia" w:ascii="仿宋_GB2312" w:hAnsi="宋体" w:eastAsia="仿宋_GB2312"/>
          <w:b/>
          <w:sz w:val="32"/>
          <w:szCs w:val="32"/>
        </w:rPr>
        <w:t>第四条</w:t>
      </w: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rPr>
        <w:t>学院成立推免生遴选工作领导小组，负责制定学院推荐、接收工作实施细则，组织进行考核。</w:t>
      </w:r>
    </w:p>
    <w:p>
      <w:pPr>
        <w:ind w:firstLine="643" w:firstLineChars="200"/>
        <w:rPr>
          <w:rFonts w:ascii="仿宋_GB2312" w:hAnsi="宋体" w:eastAsia="仿宋_GB2312"/>
          <w:sz w:val="32"/>
          <w:szCs w:val="32"/>
        </w:rPr>
      </w:pPr>
      <w:r>
        <w:rPr>
          <w:rFonts w:hint="eastAsia" w:ascii="仿宋_GB2312" w:hAnsi="宋体" w:eastAsia="仿宋_GB2312"/>
          <w:b/>
          <w:sz w:val="32"/>
          <w:szCs w:val="32"/>
        </w:rPr>
        <w:t>第五条</w:t>
      </w: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rPr>
        <w:t>推免生遴选工作领导小组由学院党委书记、院长任组长，主管研究生工作的副院长、主管教学工作的副院长、主管学生工作的党委副书记任副组长，系主任、教师代表、相关管理人员等组成。</w:t>
      </w:r>
    </w:p>
    <w:p>
      <w:pPr>
        <w:ind w:firstLine="643" w:firstLineChars="200"/>
        <w:rPr>
          <w:rFonts w:ascii="仿宋_GB2312" w:hAnsi="宋体" w:eastAsia="仿宋_GB2312"/>
          <w:sz w:val="32"/>
          <w:szCs w:val="32"/>
        </w:rPr>
      </w:pPr>
      <w:r>
        <w:rPr>
          <w:rFonts w:hint="eastAsia" w:ascii="仿宋_GB2312" w:hAnsi="宋体" w:eastAsia="仿宋_GB2312"/>
          <w:b/>
          <w:sz w:val="32"/>
          <w:szCs w:val="32"/>
        </w:rPr>
        <w:t>第六条</w:t>
      </w: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rPr>
        <w:t>学院成立推免生遴选工作监督小组，负责监督推荐、接收推免生工作。</w:t>
      </w:r>
    </w:p>
    <w:p>
      <w:pPr>
        <w:adjustRightInd w:val="0"/>
        <w:spacing w:before="156" w:beforeLines="50" w:after="156" w:afterLines="50"/>
        <w:jc w:val="center"/>
        <w:rPr>
          <w:rFonts w:ascii="黑体" w:hAnsi="黑体" w:eastAsia="黑体" w:cs="黑体"/>
          <w:b/>
          <w:sz w:val="32"/>
          <w:szCs w:val="32"/>
        </w:rPr>
      </w:pPr>
      <w:r>
        <w:rPr>
          <w:rFonts w:hint="eastAsia" w:ascii="黑体" w:hAnsi="黑体" w:eastAsia="黑体" w:cs="黑体"/>
          <w:b/>
          <w:sz w:val="32"/>
          <w:szCs w:val="32"/>
        </w:rPr>
        <w:t>第三章  遴选与接收条件</w:t>
      </w:r>
    </w:p>
    <w:p>
      <w:pPr>
        <w:adjustRightInd w:val="0"/>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 xml:space="preserve">第七条  </w:t>
      </w:r>
      <w:r>
        <w:rPr>
          <w:rFonts w:hint="eastAsia" w:ascii="仿宋_GB2312" w:hAnsi="宋体" w:eastAsia="仿宋_GB2312" w:cs="仿宋_GB2312"/>
          <w:sz w:val="32"/>
          <w:szCs w:val="32"/>
        </w:rPr>
        <w:t>推免生遴选与接收基本条件如下：</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1.</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拥护中国共产党的领导和社会主义制度，具有高尚的爱国主义情操和集体主义精神，社会责任感强，遵纪守法，积极向上，身心健康。</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2.</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诚实守信，学风端正，品行优良，无考试作弊或剽窃他人学术成果等学术不端行为。</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3.</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获得</w:t>
      </w:r>
      <w:bookmarkStart w:id="0" w:name="OLE_LINK1"/>
      <w:r>
        <w:rPr>
          <w:rFonts w:hint="eastAsia" w:ascii="仿宋_GB2312" w:hAnsi="宋体" w:eastAsia="仿宋_GB2312" w:cs="仿宋_GB2312"/>
          <w:sz w:val="32"/>
          <w:szCs w:val="32"/>
        </w:rPr>
        <w:t>本科前三学年应修课程学分</w:t>
      </w:r>
      <w:bookmarkEnd w:id="0"/>
      <w:r>
        <w:rPr>
          <w:rFonts w:hint="eastAsia" w:ascii="仿宋_GB2312" w:hAnsi="宋体" w:eastAsia="仿宋_GB2312" w:cs="仿宋_GB2312"/>
          <w:sz w:val="32"/>
          <w:szCs w:val="32"/>
        </w:rPr>
        <w:t>，且课程学分成绩排名位于专业年级前50%。</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4.</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外语成绩：全国大学英语四级考试成绩在425分及以上或外语小语种四级成绩在60分及以上。</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5.</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本科前三学年国家学生体质健康标准测试（简称体测）合格。</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6.</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具有从事学术研究志向，具有较强的创新意识、创新潜质和创新能力，且符合本实施细则规定的科研潜质考核要求。</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7</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接收的推免生必须取得所在学校的推荐资格，且能正常获得本科毕业证书和学士学位证书。</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8</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申请直博生，全国大学英语六级考试成绩在425分及以上或外语小语种四级成绩在60分及以上。</w:t>
      </w:r>
    </w:p>
    <w:p>
      <w:pPr>
        <w:adjustRightInd w:val="0"/>
        <w:spacing w:before="156" w:beforeLines="50" w:after="156" w:afterLines="50"/>
        <w:jc w:val="center"/>
        <w:rPr>
          <w:rFonts w:ascii="黑体" w:hAnsi="黑体" w:eastAsia="黑体" w:cs="黑体"/>
          <w:b/>
          <w:sz w:val="32"/>
          <w:szCs w:val="32"/>
        </w:rPr>
      </w:pPr>
      <w:r>
        <w:rPr>
          <w:rFonts w:hint="eastAsia" w:ascii="黑体" w:hAnsi="黑体" w:eastAsia="黑体" w:cs="黑体"/>
          <w:b/>
          <w:sz w:val="32"/>
          <w:szCs w:val="32"/>
        </w:rPr>
        <w:t>第四章  推荐指标分配</w:t>
      </w:r>
    </w:p>
    <w:p>
      <w:pPr>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 xml:space="preserve">第八条  </w:t>
      </w:r>
      <w:r>
        <w:rPr>
          <w:rFonts w:hint="eastAsia" w:ascii="仿宋_GB2312" w:hAnsi="宋体" w:eastAsia="仿宋_GB2312" w:cs="仿宋_GB2312"/>
          <w:bCs/>
          <w:sz w:val="32"/>
          <w:szCs w:val="32"/>
        </w:rPr>
        <w:t>推荐</w:t>
      </w:r>
      <w:r>
        <w:rPr>
          <w:rFonts w:hint="eastAsia" w:ascii="仿宋_GB2312" w:hAnsi="宋体" w:eastAsia="仿宋_GB2312" w:cs="仿宋_GB2312"/>
          <w:sz w:val="32"/>
          <w:szCs w:val="32"/>
        </w:rPr>
        <w:t>指标分为专项推荐指标和普通推荐指标。</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 xml:space="preserve">1. </w:t>
      </w:r>
      <w:r>
        <w:rPr>
          <w:rFonts w:hint="eastAsia" w:ascii="仿宋_GB2312" w:hAnsi="宋体" w:eastAsia="仿宋_GB2312" w:cs="仿宋_GB2312"/>
          <w:sz w:val="32"/>
          <w:szCs w:val="32"/>
        </w:rPr>
        <w:t>专项推荐指标以学校分配给学院的指标为准，根据学校相关单位要求或办法组织推荐。</w:t>
      </w:r>
    </w:p>
    <w:p>
      <w:pPr>
        <w:ind w:firstLine="640" w:firstLineChars="200"/>
        <w:rPr>
          <w:rFonts w:ascii="仿宋_GB2312" w:hAnsi="宋体" w:eastAsia="仿宋_GB2312"/>
          <w:sz w:val="32"/>
          <w:szCs w:val="32"/>
        </w:rPr>
      </w:pPr>
      <w:r>
        <w:rPr>
          <w:rFonts w:ascii="仿宋_GB2312" w:hAnsi="宋体" w:eastAsia="仿宋_GB2312" w:cs="仿宋_GB2312"/>
          <w:sz w:val="32"/>
          <w:szCs w:val="32"/>
        </w:rPr>
        <w:t xml:space="preserve">2. </w:t>
      </w:r>
      <w:r>
        <w:rPr>
          <w:rFonts w:hint="eastAsia" w:ascii="仿宋_GB2312" w:hAnsi="宋体" w:eastAsia="仿宋_GB2312" w:cs="仿宋_GB2312"/>
          <w:sz w:val="32"/>
          <w:szCs w:val="32"/>
        </w:rPr>
        <w:t>普通推荐指标根据各专业应届本科毕业生人数与上年研究生招生情况计算专业推荐</w:t>
      </w:r>
      <w:r>
        <w:rPr>
          <w:rFonts w:ascii="仿宋_GB2312" w:hAnsi="宋体" w:eastAsia="仿宋_GB2312" w:cs="仿宋_GB2312"/>
          <w:sz w:val="32"/>
          <w:szCs w:val="32"/>
        </w:rPr>
        <w:t>指标</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本科专业推荐指标计算办法：</w:t>
      </w:r>
    </w:p>
    <w:p>
      <w:pPr>
        <w:ind w:firstLine="664" w:firstLineChars="200"/>
        <w:rPr>
          <w:rFonts w:ascii="仿宋_GB2312" w:hAnsi="宋体" w:eastAsia="仿宋_GB2312" w:cs="仿宋_GB2312"/>
          <w:color w:val="000000"/>
          <w:sz w:val="32"/>
          <w:szCs w:val="32"/>
        </w:rPr>
      </w:pPr>
      <w:r>
        <w:rPr>
          <w:rFonts w:hint="eastAsia" w:ascii="仿宋_GB2312" w:hAnsi="宋体" w:eastAsia="仿宋_GB2312" w:cs="仿宋_GB2312"/>
          <w:color w:val="000000"/>
          <w:spacing w:val="6"/>
          <w:sz w:val="32"/>
          <w:szCs w:val="32"/>
        </w:rPr>
        <w:t>本科专业推荐指标=[</w:t>
      </w:r>
      <w:r>
        <w:rPr>
          <w:rFonts w:hint="eastAsia" w:ascii="仿宋_GB2312" w:hAnsi="宋体" w:eastAsia="仿宋_GB2312" w:cs="仿宋_GB2312"/>
          <w:i/>
          <w:color w:val="000000"/>
          <w:spacing w:val="6"/>
          <w:sz w:val="32"/>
          <w:szCs w:val="32"/>
        </w:rPr>
        <w:t>K</w:t>
      </w:r>
      <w:r>
        <w:rPr>
          <w:rFonts w:hint="eastAsia" w:ascii="仿宋_GB2312" w:hAnsi="宋体" w:eastAsia="仿宋_GB2312" w:cs="仿宋_GB2312"/>
          <w:i/>
          <w:color w:val="000000"/>
          <w:spacing w:val="6"/>
          <w:sz w:val="32"/>
          <w:szCs w:val="32"/>
          <w:vertAlign w:val="subscript"/>
        </w:rPr>
        <w:t>1</w:t>
      </w:r>
      <w:r>
        <w:rPr>
          <w:rFonts w:hint="eastAsia" w:ascii="仿宋_GB2312" w:hAnsi="宋体" w:eastAsia="仿宋_GB2312" w:cs="仿宋_GB2312"/>
          <w:color w:val="000000"/>
          <w:sz w:val="32"/>
          <w:szCs w:val="32"/>
        </w:rPr>
        <w:t>×</w:t>
      </w:r>
      <w:r>
        <w:rPr>
          <w:rFonts w:hint="eastAsia" w:ascii="仿宋_GB2312" w:hAnsi="宋体" w:eastAsia="仿宋_GB2312" w:cs="仿宋_GB2312"/>
          <w:color w:val="000000"/>
          <w:spacing w:val="6"/>
          <w:sz w:val="32"/>
          <w:szCs w:val="32"/>
        </w:rPr>
        <w:t>专业应届本科毕业生</w:t>
      </w:r>
      <w:r>
        <w:rPr>
          <w:rFonts w:hint="eastAsia" w:ascii="仿宋_GB2312" w:hAnsi="宋体" w:eastAsia="仿宋_GB2312" w:cs="仿宋_GB2312"/>
          <w:color w:val="000000"/>
          <w:sz w:val="32"/>
          <w:szCs w:val="32"/>
        </w:rPr>
        <w:t>人数/全院应届本科毕业生总人数+</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2</w:t>
      </w:r>
      <w:r>
        <w:rPr>
          <w:rFonts w:hint="eastAsia" w:ascii="仿宋_GB2312" w:hAnsi="宋体" w:eastAsia="仿宋_GB2312" w:cs="仿宋_GB2312"/>
          <w:color w:val="000000"/>
          <w:sz w:val="32"/>
          <w:szCs w:val="32"/>
        </w:rPr>
        <w:t>×专业研究生招生计划数/学院研究生招生总数+</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3</w:t>
      </w:r>
      <w:r>
        <w:rPr>
          <w:rFonts w:hint="eastAsia" w:ascii="仿宋_GB2312" w:hAnsi="宋体" w:eastAsia="仿宋_GB2312" w:cs="仿宋_GB2312"/>
          <w:color w:val="000000"/>
          <w:sz w:val="32"/>
          <w:szCs w:val="32"/>
        </w:rPr>
        <w:t>×专业上学年接收推免生数/全院上学年接收推免生数]×全院可分配普通推荐指标</w:t>
      </w:r>
    </w:p>
    <w:p>
      <w:pPr>
        <w:ind w:firstLine="640" w:firstLineChars="200"/>
        <w:rPr>
          <w:rFonts w:ascii="仿宋_GB2312" w:hAnsi="宋体" w:eastAsia="仿宋_GB2312" w:cs="仿宋_GB2312"/>
          <w:color w:val="000000"/>
          <w:sz w:val="32"/>
          <w:szCs w:val="32"/>
        </w:rPr>
      </w:pP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1</w:t>
      </w:r>
      <w:r>
        <w:rPr>
          <w:rFonts w:hint="eastAsia" w:ascii="仿宋_GB2312" w:hAnsi="宋体" w:eastAsia="仿宋_GB2312" w:cs="仿宋_GB2312"/>
          <w:color w:val="000000"/>
          <w:sz w:val="32"/>
          <w:szCs w:val="32"/>
        </w:rPr>
        <w:t>、</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2</w:t>
      </w:r>
      <w:r>
        <w:rPr>
          <w:rFonts w:hint="eastAsia" w:ascii="仿宋_GB2312" w:hAnsi="宋体" w:eastAsia="仿宋_GB2312" w:cs="仿宋_GB2312"/>
          <w:color w:val="000000"/>
          <w:sz w:val="32"/>
          <w:szCs w:val="32"/>
        </w:rPr>
        <w:t>、</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3</w:t>
      </w:r>
      <w:r>
        <w:rPr>
          <w:rFonts w:hint="eastAsia" w:ascii="仿宋_GB2312" w:hAnsi="宋体" w:eastAsia="仿宋_GB2312" w:cs="仿宋_GB2312"/>
          <w:color w:val="000000"/>
          <w:sz w:val="32"/>
          <w:szCs w:val="32"/>
        </w:rPr>
        <w:t>为年度分配系数，</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1</w:t>
      </w:r>
      <w:r>
        <w:rPr>
          <w:rFonts w:hint="eastAsia" w:ascii="仿宋_GB2312" w:hAnsi="宋体" w:eastAsia="仿宋_GB2312" w:cs="仿宋_GB2312"/>
          <w:color w:val="000000"/>
          <w:sz w:val="32"/>
          <w:szCs w:val="32"/>
        </w:rPr>
        <w:t>+</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2</w:t>
      </w:r>
      <w:r>
        <w:rPr>
          <w:rFonts w:hint="eastAsia" w:ascii="仿宋_GB2312" w:hAnsi="宋体" w:eastAsia="仿宋_GB2312" w:cs="仿宋_GB2312"/>
          <w:color w:val="000000"/>
          <w:sz w:val="32"/>
          <w:szCs w:val="32"/>
        </w:rPr>
        <w:t>+</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3</w:t>
      </w:r>
      <w:r>
        <w:rPr>
          <w:rFonts w:hint="eastAsia" w:ascii="仿宋_GB2312" w:hAnsi="宋体" w:eastAsia="仿宋_GB2312" w:cs="仿宋_GB2312"/>
          <w:color w:val="000000"/>
          <w:sz w:val="32"/>
          <w:szCs w:val="32"/>
        </w:rPr>
        <w:t>=</w:t>
      </w:r>
      <w:r>
        <w:rPr>
          <w:rFonts w:ascii="仿宋_GB2312" w:hAnsi="宋体" w:eastAsia="仿宋_GB2312" w:cs="仿宋_GB2312"/>
          <w:color w:val="000000"/>
          <w:sz w:val="32"/>
          <w:szCs w:val="32"/>
        </w:rPr>
        <w:t>1,</w:t>
      </w:r>
      <w:r>
        <w:rPr>
          <w:rFonts w:hint="eastAsia" w:ascii="仿宋_GB2312" w:hAnsi="宋体" w:eastAsia="仿宋_GB2312" w:cs="仿宋_GB2312"/>
          <w:color w:val="000000"/>
          <w:sz w:val="32"/>
          <w:szCs w:val="32"/>
        </w:rPr>
        <w:t xml:space="preserve"> </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1</w:t>
      </w:r>
      <w:r>
        <w:rPr>
          <w:rFonts w:hint="eastAsia" w:ascii="仿宋_GB2312" w:hAnsi="宋体" w:eastAsia="仿宋_GB2312" w:cs="仿宋_GB2312"/>
          <w:color w:val="000000"/>
          <w:sz w:val="32"/>
          <w:szCs w:val="32"/>
        </w:rPr>
        <w:t>、</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2</w:t>
      </w:r>
      <w:r>
        <w:rPr>
          <w:rFonts w:hint="eastAsia" w:ascii="仿宋_GB2312" w:hAnsi="宋体" w:eastAsia="仿宋_GB2312" w:cs="仿宋_GB2312"/>
          <w:color w:val="000000"/>
          <w:sz w:val="32"/>
          <w:szCs w:val="32"/>
        </w:rPr>
        <w:t>、</w:t>
      </w:r>
      <w:r>
        <w:rPr>
          <w:rFonts w:hint="eastAsia" w:ascii="仿宋_GB2312" w:hAnsi="宋体" w:eastAsia="仿宋_GB2312" w:cs="仿宋_GB2312"/>
          <w:i/>
          <w:color w:val="000000"/>
          <w:sz w:val="32"/>
          <w:szCs w:val="32"/>
        </w:rPr>
        <w:t>K</w:t>
      </w:r>
      <w:r>
        <w:rPr>
          <w:rFonts w:hint="eastAsia" w:ascii="仿宋_GB2312" w:hAnsi="宋体" w:eastAsia="仿宋_GB2312" w:cs="仿宋_GB2312"/>
          <w:i/>
          <w:color w:val="000000"/>
          <w:sz w:val="32"/>
          <w:szCs w:val="32"/>
          <w:vertAlign w:val="subscript"/>
        </w:rPr>
        <w:t>3</w:t>
      </w:r>
      <w:r>
        <w:rPr>
          <w:rFonts w:hint="eastAsia" w:ascii="仿宋_GB2312" w:hAnsi="宋体" w:eastAsia="仿宋_GB2312" w:cs="仿宋_GB2312"/>
          <w:color w:val="000000"/>
          <w:sz w:val="32"/>
          <w:szCs w:val="32"/>
        </w:rPr>
        <w:t>年度赋值参照学校年度分配系数。</w:t>
      </w:r>
    </w:p>
    <w:p>
      <w:pPr>
        <w:adjustRightInd w:val="0"/>
        <w:spacing w:before="156" w:beforeLines="50" w:after="156" w:afterLines="50"/>
        <w:jc w:val="center"/>
        <w:rPr>
          <w:rFonts w:ascii="黑体" w:hAnsi="黑体" w:eastAsia="黑体" w:cs="黑体"/>
          <w:b/>
          <w:sz w:val="32"/>
          <w:szCs w:val="32"/>
        </w:rPr>
      </w:pPr>
      <w:r>
        <w:rPr>
          <w:rFonts w:hint="eastAsia" w:ascii="黑体" w:hAnsi="黑体" w:eastAsia="黑体" w:cs="黑体"/>
          <w:b/>
          <w:sz w:val="32"/>
          <w:szCs w:val="32"/>
        </w:rPr>
        <w:t>第五章  考核办法</w:t>
      </w:r>
    </w:p>
    <w:p>
      <w:pPr>
        <w:ind w:firstLine="643" w:firstLineChars="200"/>
        <w:rPr>
          <w:rFonts w:ascii="仿宋_GB2312" w:hAnsi="宋体" w:eastAsia="仿宋_GB2312" w:cs="仿宋_GB2312"/>
          <w:sz w:val="32"/>
          <w:szCs w:val="32"/>
        </w:rPr>
      </w:pPr>
      <w:r>
        <w:rPr>
          <w:rFonts w:hint="eastAsia" w:ascii="仿宋_GB2312" w:hAnsi="宋体" w:eastAsia="仿宋_GB2312" w:cs="仿宋_GB2312"/>
          <w:b/>
          <w:bCs/>
          <w:sz w:val="32"/>
          <w:szCs w:val="32"/>
        </w:rPr>
        <w:t xml:space="preserve">第九条  </w:t>
      </w:r>
      <w:r>
        <w:rPr>
          <w:rFonts w:hint="eastAsia" w:ascii="仿宋_GB2312" w:hAnsi="宋体" w:eastAsia="仿宋_GB2312" w:cs="仿宋_GB2312"/>
          <w:bCs/>
          <w:sz w:val="32"/>
          <w:szCs w:val="32"/>
        </w:rPr>
        <w:t>学院组织对符合推荐条件且申请推荐资格的学生进行综合考核。</w:t>
      </w:r>
      <w:r>
        <w:rPr>
          <w:rFonts w:hint="eastAsia" w:ascii="仿宋_GB2312" w:hAnsi="宋体" w:eastAsia="仿宋_GB2312" w:cs="仿宋_GB2312"/>
          <w:sz w:val="32"/>
          <w:szCs w:val="32"/>
        </w:rPr>
        <w:t>综合考核根据遴选与接收条件从思想政治品德、学业成绩、科研潜质三个方面进行，总分1</w:t>
      </w:r>
      <w:r>
        <w:rPr>
          <w:rFonts w:ascii="仿宋_GB2312" w:hAnsi="宋体" w:eastAsia="仿宋_GB2312" w:cs="仿宋_GB2312"/>
          <w:sz w:val="32"/>
          <w:szCs w:val="32"/>
        </w:rPr>
        <w:t>00</w:t>
      </w:r>
      <w:r>
        <w:rPr>
          <w:rFonts w:hint="eastAsia" w:ascii="仿宋_GB2312" w:hAnsi="宋体" w:eastAsia="仿宋_GB2312" w:cs="仿宋_GB2312"/>
          <w:sz w:val="32"/>
          <w:szCs w:val="32"/>
        </w:rPr>
        <w:t>分。其中，思想政治品德占10%，学业成绩占40%、科研潜质考核成绩占50%。</w:t>
      </w:r>
    </w:p>
    <w:p>
      <w:pPr>
        <w:ind w:firstLine="643" w:firstLineChars="200"/>
        <w:rPr>
          <w:rFonts w:ascii="仿宋_GB2312" w:hAnsi="宋体" w:eastAsia="仿宋_GB2312"/>
          <w:sz w:val="32"/>
          <w:szCs w:val="32"/>
        </w:rPr>
      </w:pPr>
      <w:r>
        <w:rPr>
          <w:rFonts w:hint="eastAsia" w:ascii="仿宋_GB2312" w:hAnsi="宋体" w:eastAsia="仿宋_GB2312" w:cs="仿宋_GB2312"/>
          <w:b/>
          <w:bCs/>
          <w:sz w:val="32"/>
          <w:szCs w:val="32"/>
        </w:rPr>
        <w:t xml:space="preserve">第十条  </w:t>
      </w:r>
      <w:r>
        <w:rPr>
          <w:rFonts w:hint="eastAsia" w:ascii="仿宋_GB2312" w:hAnsi="宋体" w:eastAsia="仿宋_GB2312" w:cs="仿宋_GB2312"/>
          <w:sz w:val="32"/>
          <w:szCs w:val="32"/>
        </w:rPr>
        <w:t>思想政治品德考核满分1</w:t>
      </w:r>
      <w:r>
        <w:rPr>
          <w:rFonts w:ascii="仿宋_GB2312" w:hAnsi="宋体" w:eastAsia="仿宋_GB2312" w:cs="仿宋_GB2312"/>
          <w:sz w:val="32"/>
          <w:szCs w:val="32"/>
        </w:rPr>
        <w:t>00</w:t>
      </w:r>
      <w:r>
        <w:rPr>
          <w:rFonts w:hint="eastAsia" w:ascii="仿宋_GB2312" w:hAnsi="宋体" w:eastAsia="仿宋_GB2312" w:cs="仿宋_GB2312"/>
          <w:sz w:val="32"/>
          <w:szCs w:val="32"/>
        </w:rPr>
        <w:t>分，由思政课成绩（50%）和综测德育成绩（50%）组成，评分遵照学校党委学工部相关政策执行。非我院应届毕业生原始成绩由推荐单位提供。考核过程中，实行思想品德考核一票否决制。</w:t>
      </w:r>
    </w:p>
    <w:p>
      <w:pPr>
        <w:ind w:firstLine="643" w:firstLineChars="200"/>
        <w:rPr>
          <w:rFonts w:ascii="仿宋_GB2312" w:hAnsi="宋体" w:eastAsia="仿宋_GB2312"/>
          <w:sz w:val="32"/>
          <w:szCs w:val="32"/>
        </w:rPr>
      </w:pPr>
      <w:r>
        <w:rPr>
          <w:rFonts w:hint="eastAsia" w:ascii="仿宋_GB2312" w:hAnsi="宋体" w:eastAsia="仿宋_GB2312" w:cs="仿宋_GB2312"/>
          <w:b/>
          <w:bCs/>
          <w:sz w:val="32"/>
          <w:szCs w:val="32"/>
        </w:rPr>
        <w:t xml:space="preserve">第十一条  </w:t>
      </w:r>
      <w:r>
        <w:rPr>
          <w:rFonts w:hint="eastAsia" w:ascii="仿宋_GB2312" w:hAnsi="宋体" w:eastAsia="仿宋_GB2312" w:cs="仿宋_GB2312"/>
          <w:sz w:val="32"/>
          <w:szCs w:val="32"/>
        </w:rPr>
        <w:t>学业成绩为前三学年应修课程学分成绩，满分</w:t>
      </w:r>
      <w:r>
        <w:rPr>
          <w:rFonts w:ascii="仿宋_GB2312" w:hAnsi="宋体" w:eastAsia="仿宋_GB2312" w:cs="仿宋_GB2312"/>
          <w:sz w:val="32"/>
          <w:szCs w:val="32"/>
        </w:rPr>
        <w:t>100</w:t>
      </w:r>
      <w:r>
        <w:rPr>
          <w:rFonts w:hint="eastAsia" w:ascii="仿宋_GB2312" w:hAnsi="宋体" w:eastAsia="仿宋_GB2312" w:cs="仿宋_GB2312"/>
          <w:sz w:val="32"/>
          <w:szCs w:val="32"/>
        </w:rPr>
        <w:t>分，评分遵照学校教务处相关政策执行。非学院应届毕业生原始成绩由推荐单位提供。</w:t>
      </w:r>
    </w:p>
    <w:p>
      <w:pPr>
        <w:ind w:firstLine="643" w:firstLineChars="200"/>
        <w:rPr>
          <w:rFonts w:hint="eastAsia" w:ascii="仿宋_GB2312" w:hAnsi="宋体" w:eastAsia="仿宋_GB2312" w:cs="仿宋_GB2312"/>
          <w:sz w:val="32"/>
          <w:szCs w:val="32"/>
          <w:lang w:eastAsia="zh-CN"/>
        </w:rPr>
      </w:pPr>
      <w:r>
        <w:rPr>
          <w:rFonts w:hint="eastAsia" w:ascii="仿宋_GB2312" w:hAnsi="宋体" w:eastAsia="仿宋_GB2312" w:cs="仿宋_GB2312"/>
          <w:b/>
          <w:bCs/>
          <w:sz w:val="32"/>
          <w:szCs w:val="32"/>
        </w:rPr>
        <w:t xml:space="preserve">第十二条  </w:t>
      </w:r>
      <w:r>
        <w:rPr>
          <w:rFonts w:hint="eastAsia" w:ascii="仿宋_GB2312" w:hAnsi="宋体" w:eastAsia="仿宋_GB2312" w:cs="仿宋_GB2312"/>
          <w:sz w:val="32"/>
          <w:szCs w:val="32"/>
        </w:rPr>
        <w:t>科研潜质考核包括社会活动经历、创新创业经历、学术成果、学科竞赛获奖、科研能力综合评价、单列加分项，各项所占分数分别为7分、4分、6分、8分、科研能力综合评价75分</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满分</w:t>
      </w:r>
      <w:r>
        <w:rPr>
          <w:rFonts w:ascii="仿宋_GB2312" w:hAnsi="宋体" w:eastAsia="仿宋_GB2312" w:cs="仿宋_GB2312"/>
          <w:sz w:val="32"/>
          <w:szCs w:val="32"/>
        </w:rPr>
        <w:t>10</w:t>
      </w:r>
      <w:r>
        <w:rPr>
          <w:rFonts w:hint="eastAsia" w:ascii="仿宋_GB2312" w:hAnsi="宋体" w:eastAsia="仿宋_GB2312" w:cs="仿宋_GB2312"/>
          <w:sz w:val="32"/>
          <w:szCs w:val="32"/>
        </w:rPr>
        <w:t>0分</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单列加分项25分</w:t>
      </w:r>
      <w:r>
        <w:rPr>
          <w:rFonts w:hint="eastAsia" w:ascii="仿宋_GB2312" w:hAnsi="宋体" w:eastAsia="仿宋_GB2312" w:cs="仿宋_GB2312"/>
          <w:sz w:val="32"/>
          <w:szCs w:val="32"/>
          <w:lang w:val="en-US" w:eastAsia="zh-CN"/>
        </w:rPr>
        <w:t>。</w:t>
      </w:r>
    </w:p>
    <w:p>
      <w:pPr>
        <w:ind w:firstLine="643" w:firstLineChars="200"/>
        <w:rPr>
          <w:rFonts w:ascii="仿宋_GB2312" w:hAnsi="宋体" w:eastAsia="仿宋_GB2312" w:cs="仿宋_GB2312"/>
          <w:bCs/>
          <w:sz w:val="32"/>
          <w:szCs w:val="32"/>
        </w:rPr>
      </w:pPr>
      <w:r>
        <w:rPr>
          <w:rFonts w:hint="eastAsia" w:ascii="仿宋_GB2312" w:hAnsi="宋体" w:eastAsia="仿宋_GB2312" w:cs="仿宋_GB2312"/>
          <w:b/>
          <w:bCs/>
          <w:sz w:val="32"/>
          <w:szCs w:val="32"/>
        </w:rPr>
        <w:t xml:space="preserve">第十三条  </w:t>
      </w:r>
      <w:r>
        <w:rPr>
          <w:rFonts w:hint="eastAsia" w:ascii="仿宋_GB2312" w:hAnsi="宋体" w:eastAsia="仿宋_GB2312" w:cs="仿宋_GB2312"/>
          <w:bCs/>
          <w:sz w:val="32"/>
          <w:szCs w:val="32"/>
        </w:rPr>
        <w:t>科研潜质考核形式与记分方法。</w:t>
      </w:r>
    </w:p>
    <w:p>
      <w:pPr>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ascii="仿宋_GB2312" w:hAnsi="宋体" w:eastAsia="仿宋_GB2312"/>
          <w:sz w:val="32"/>
          <w:szCs w:val="32"/>
        </w:rPr>
        <w:t xml:space="preserve">. </w:t>
      </w:r>
      <w:r>
        <w:rPr>
          <w:rFonts w:hint="eastAsia" w:ascii="仿宋_GB2312" w:hAnsi="宋体" w:eastAsia="仿宋_GB2312"/>
          <w:sz w:val="32"/>
          <w:szCs w:val="32"/>
        </w:rPr>
        <w:t>社会活动经历指参军入伍服兵役、参加志愿服务和到国际组织实习（限认定1项），满分7分。记分办法：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1976"/>
        <w:gridCol w:w="844"/>
        <w:gridCol w:w="705"/>
        <w:gridCol w:w="705"/>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vMerge w:val="restart"/>
            <w:noWrap w:val="0"/>
            <w:vAlign w:val="center"/>
          </w:tcPr>
          <w:p>
            <w:pPr>
              <w:spacing w:line="360" w:lineRule="auto"/>
              <w:jc w:val="center"/>
              <w:rPr>
                <w:szCs w:val="21"/>
              </w:rPr>
            </w:pPr>
            <w:r>
              <w:rPr>
                <w:rFonts w:hAnsi="宋体"/>
                <w:szCs w:val="21"/>
              </w:rPr>
              <w:t>类别</w:t>
            </w:r>
          </w:p>
        </w:tc>
        <w:tc>
          <w:tcPr>
            <w:tcW w:w="1976" w:type="dxa"/>
            <w:vMerge w:val="restart"/>
            <w:noWrap w:val="0"/>
            <w:vAlign w:val="center"/>
          </w:tcPr>
          <w:p>
            <w:pPr>
              <w:spacing w:line="360" w:lineRule="auto"/>
              <w:jc w:val="center"/>
              <w:rPr>
                <w:szCs w:val="21"/>
              </w:rPr>
            </w:pPr>
            <w:r>
              <w:rPr>
                <w:rFonts w:hint="eastAsia" w:hAnsi="宋体"/>
                <w:szCs w:val="21"/>
              </w:rPr>
              <w:t>参</w:t>
            </w:r>
            <w:r>
              <w:rPr>
                <w:rFonts w:hint="eastAsia" w:hAnsi="宋体"/>
                <w:szCs w:val="21"/>
                <w:lang w:val="en-US" w:eastAsia="zh-CN"/>
              </w:rPr>
              <w:t>军</w:t>
            </w:r>
            <w:r>
              <w:rPr>
                <w:rFonts w:hint="eastAsia" w:hAnsi="宋体"/>
                <w:szCs w:val="21"/>
              </w:rPr>
              <w:t>入伍服兵役</w:t>
            </w:r>
          </w:p>
        </w:tc>
        <w:tc>
          <w:tcPr>
            <w:tcW w:w="2254" w:type="dxa"/>
            <w:gridSpan w:val="3"/>
            <w:noWrap w:val="0"/>
            <w:vAlign w:val="center"/>
          </w:tcPr>
          <w:p>
            <w:pPr>
              <w:spacing w:line="360" w:lineRule="auto"/>
              <w:jc w:val="center"/>
              <w:rPr>
                <w:szCs w:val="21"/>
              </w:rPr>
            </w:pPr>
            <w:r>
              <w:rPr>
                <w:rFonts w:hint="eastAsia" w:hAnsi="宋体"/>
                <w:szCs w:val="21"/>
              </w:rPr>
              <w:t>志愿服务</w:t>
            </w:r>
          </w:p>
        </w:tc>
        <w:tc>
          <w:tcPr>
            <w:tcW w:w="2116" w:type="dxa"/>
            <w:vMerge w:val="restart"/>
            <w:noWrap w:val="0"/>
            <w:vAlign w:val="center"/>
          </w:tcPr>
          <w:p>
            <w:pPr>
              <w:spacing w:line="360" w:lineRule="auto"/>
              <w:jc w:val="center"/>
              <w:rPr>
                <w:rFonts w:hint="eastAsia"/>
                <w:szCs w:val="21"/>
              </w:rPr>
            </w:pPr>
            <w:r>
              <w:rPr>
                <w:rFonts w:hint="eastAsia"/>
                <w:szCs w:val="21"/>
              </w:rPr>
              <w:t>国际组织实习</w:t>
            </w:r>
          </w:p>
          <w:p>
            <w:pPr>
              <w:spacing w:line="360" w:lineRule="auto"/>
              <w:jc w:val="center"/>
              <w:rPr>
                <w:rFonts w:hint="eastAsia"/>
                <w:szCs w:val="21"/>
              </w:rPr>
            </w:pPr>
            <w:r>
              <w:rPr>
                <w:rFonts w:hint="eastAsia"/>
                <w:szCs w:val="21"/>
              </w:rPr>
              <w:t>（每个月计1分）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932" w:type="dxa"/>
            <w:vMerge w:val="continue"/>
            <w:noWrap w:val="0"/>
            <w:vAlign w:val="center"/>
          </w:tcPr>
          <w:p>
            <w:pPr>
              <w:spacing w:line="360" w:lineRule="auto"/>
              <w:jc w:val="center"/>
              <w:rPr>
                <w:szCs w:val="21"/>
              </w:rPr>
            </w:pPr>
          </w:p>
        </w:tc>
        <w:tc>
          <w:tcPr>
            <w:tcW w:w="1976" w:type="dxa"/>
            <w:vMerge w:val="continue"/>
            <w:noWrap w:val="0"/>
            <w:vAlign w:val="center"/>
          </w:tcPr>
          <w:p>
            <w:pPr>
              <w:spacing w:line="360" w:lineRule="auto"/>
              <w:jc w:val="center"/>
              <w:rPr>
                <w:szCs w:val="21"/>
              </w:rPr>
            </w:pPr>
          </w:p>
        </w:tc>
        <w:tc>
          <w:tcPr>
            <w:tcW w:w="844" w:type="dxa"/>
            <w:noWrap w:val="0"/>
            <w:vAlign w:val="center"/>
          </w:tcPr>
          <w:p>
            <w:pPr>
              <w:spacing w:line="360" w:lineRule="auto"/>
              <w:jc w:val="center"/>
              <w:rPr>
                <w:szCs w:val="21"/>
              </w:rPr>
            </w:pPr>
            <w:r>
              <w:rPr>
                <w:szCs w:val="21"/>
              </w:rPr>
              <w:t>A</w:t>
            </w:r>
          </w:p>
        </w:tc>
        <w:tc>
          <w:tcPr>
            <w:tcW w:w="705" w:type="dxa"/>
            <w:noWrap w:val="0"/>
            <w:vAlign w:val="center"/>
          </w:tcPr>
          <w:p>
            <w:pPr>
              <w:spacing w:line="360" w:lineRule="auto"/>
              <w:jc w:val="center"/>
              <w:rPr>
                <w:szCs w:val="21"/>
              </w:rPr>
            </w:pPr>
            <w:r>
              <w:rPr>
                <w:szCs w:val="21"/>
              </w:rPr>
              <w:t>B</w:t>
            </w:r>
          </w:p>
        </w:tc>
        <w:tc>
          <w:tcPr>
            <w:tcW w:w="705" w:type="dxa"/>
            <w:noWrap w:val="0"/>
            <w:vAlign w:val="center"/>
          </w:tcPr>
          <w:p>
            <w:pPr>
              <w:spacing w:line="360" w:lineRule="auto"/>
              <w:jc w:val="center"/>
              <w:rPr>
                <w:szCs w:val="21"/>
              </w:rPr>
            </w:pPr>
            <w:r>
              <w:rPr>
                <w:szCs w:val="21"/>
              </w:rPr>
              <w:t>C</w:t>
            </w:r>
          </w:p>
        </w:tc>
        <w:tc>
          <w:tcPr>
            <w:tcW w:w="2116"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932" w:type="dxa"/>
            <w:vMerge w:val="continue"/>
            <w:noWrap w:val="0"/>
            <w:vAlign w:val="center"/>
          </w:tcPr>
          <w:p>
            <w:pPr>
              <w:spacing w:line="360" w:lineRule="auto"/>
              <w:jc w:val="center"/>
              <w:rPr>
                <w:szCs w:val="21"/>
              </w:rPr>
            </w:pPr>
          </w:p>
        </w:tc>
        <w:tc>
          <w:tcPr>
            <w:tcW w:w="1976" w:type="dxa"/>
            <w:noWrap w:val="0"/>
            <w:vAlign w:val="center"/>
          </w:tcPr>
          <w:p>
            <w:pPr>
              <w:jc w:val="center"/>
              <w:rPr>
                <w:rFonts w:hint="eastAsia" w:eastAsiaTheme="minorEastAsia"/>
                <w:szCs w:val="21"/>
                <w:lang w:eastAsia="zh-CN"/>
              </w:rPr>
            </w:pPr>
            <w:r>
              <w:rPr>
                <w:rFonts w:hint="eastAsia"/>
                <w:szCs w:val="21"/>
                <w:lang w:val="en-US" w:eastAsia="zh-CN"/>
              </w:rPr>
              <w:t>2</w:t>
            </w:r>
          </w:p>
        </w:tc>
        <w:tc>
          <w:tcPr>
            <w:tcW w:w="844" w:type="dxa"/>
            <w:noWrap w:val="0"/>
            <w:vAlign w:val="center"/>
          </w:tcPr>
          <w:p>
            <w:pPr>
              <w:jc w:val="center"/>
              <w:rPr>
                <w:rFonts w:hint="eastAsia" w:eastAsiaTheme="minorEastAsia"/>
                <w:szCs w:val="21"/>
                <w:lang w:eastAsia="zh-CN"/>
              </w:rPr>
            </w:pPr>
            <w:r>
              <w:rPr>
                <w:rFonts w:hint="eastAsia"/>
                <w:szCs w:val="21"/>
                <w:lang w:val="en-US" w:eastAsia="zh-CN"/>
              </w:rPr>
              <w:t>2</w:t>
            </w:r>
          </w:p>
        </w:tc>
        <w:tc>
          <w:tcPr>
            <w:tcW w:w="705" w:type="dxa"/>
            <w:noWrap w:val="0"/>
            <w:vAlign w:val="center"/>
          </w:tcPr>
          <w:p>
            <w:pPr>
              <w:jc w:val="center"/>
              <w:rPr>
                <w:rFonts w:hint="default" w:eastAsiaTheme="minorEastAsia"/>
                <w:szCs w:val="21"/>
                <w:lang w:val="en-US" w:eastAsia="zh-CN"/>
              </w:rPr>
            </w:pPr>
            <w:r>
              <w:rPr>
                <w:rFonts w:hint="eastAsia"/>
                <w:szCs w:val="21"/>
                <w:lang w:val="en-US" w:eastAsia="zh-CN"/>
              </w:rPr>
              <w:t>1.5</w:t>
            </w:r>
          </w:p>
        </w:tc>
        <w:tc>
          <w:tcPr>
            <w:tcW w:w="705" w:type="dxa"/>
            <w:noWrap w:val="0"/>
            <w:vAlign w:val="center"/>
          </w:tcPr>
          <w:p>
            <w:pPr>
              <w:jc w:val="center"/>
              <w:rPr>
                <w:szCs w:val="21"/>
              </w:rPr>
            </w:pPr>
            <w:r>
              <w:rPr>
                <w:rFonts w:hint="eastAsia"/>
                <w:szCs w:val="21"/>
              </w:rPr>
              <w:t>1</w:t>
            </w:r>
          </w:p>
        </w:tc>
        <w:tc>
          <w:tcPr>
            <w:tcW w:w="2116" w:type="dxa"/>
            <w:noWrap w:val="0"/>
            <w:vAlign w:val="center"/>
          </w:tcPr>
          <w:p>
            <w:pPr>
              <w:jc w:val="center"/>
              <w:rPr>
                <w:szCs w:val="21"/>
              </w:rPr>
            </w:pPr>
            <w:r>
              <w:rPr>
                <w:rFonts w:hint="eastAsia"/>
                <w:szCs w:val="21"/>
              </w:rPr>
              <w:t>上限3分</w:t>
            </w:r>
          </w:p>
        </w:tc>
      </w:tr>
    </w:tbl>
    <w:p>
      <w:pPr>
        <w:ind w:firstLine="640" w:firstLineChars="200"/>
        <w:rPr>
          <w:rFonts w:ascii="仿宋_GB2312" w:hAnsi="宋体" w:eastAsia="仿宋_GB2312"/>
          <w:sz w:val="32"/>
          <w:szCs w:val="32"/>
        </w:rPr>
      </w:pPr>
      <w:r>
        <w:rPr>
          <w:rFonts w:hint="eastAsia" w:ascii="仿宋_GB2312" w:hAnsi="宋体" w:eastAsia="仿宋_GB2312"/>
          <w:sz w:val="32"/>
          <w:szCs w:val="32"/>
        </w:rPr>
        <w:t>注：志愿服务（以证书认定）A指参加国家级及以上活动志愿者，B指参加省部级活动志愿者，C指参加校级活动志愿者；国际组织指国家认可的承担全球性或区域性国际活动的组织。</w:t>
      </w:r>
    </w:p>
    <w:p>
      <w:pPr>
        <w:ind w:firstLine="640" w:firstLineChars="200"/>
        <w:rPr>
          <w:rFonts w:ascii="仿宋_GB2312" w:hAnsi="宋体" w:eastAsia="仿宋_GB2312"/>
          <w:sz w:val="32"/>
          <w:szCs w:val="32"/>
        </w:rPr>
      </w:pPr>
      <w:r>
        <w:rPr>
          <w:rFonts w:hint="eastAsia" w:ascii="仿宋_GB2312" w:hAnsi="宋体" w:eastAsia="仿宋_GB2312"/>
          <w:sz w:val="32"/>
          <w:szCs w:val="32"/>
        </w:rPr>
        <w:t>2</w:t>
      </w:r>
      <w:r>
        <w:rPr>
          <w:rFonts w:ascii="仿宋_GB2312" w:hAnsi="宋体" w:eastAsia="仿宋_GB2312"/>
          <w:sz w:val="32"/>
          <w:szCs w:val="32"/>
        </w:rPr>
        <w:t xml:space="preserve">. </w:t>
      </w:r>
      <w:r>
        <w:rPr>
          <w:rFonts w:hint="eastAsia" w:ascii="仿宋_GB2312" w:hAnsi="宋体" w:eastAsia="仿宋_GB2312"/>
          <w:sz w:val="32"/>
          <w:szCs w:val="32"/>
        </w:rPr>
        <w:t>创新创业项目经历指在我校参与的创新创业项目（限认定1项），满分4分。记分办法：</w:t>
      </w: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74"/>
        <w:gridCol w:w="1013"/>
        <w:gridCol w:w="912"/>
        <w:gridCol w:w="930"/>
        <w:gridCol w:w="962"/>
        <w:gridCol w:w="1063"/>
        <w:gridCol w:w="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3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lang w:val="en-US" w:eastAsia="zh-CN" w:bidi="ar"/>
              </w:rPr>
              <w:t>类别</w:t>
            </w:r>
          </w:p>
        </w:tc>
        <w:tc>
          <w:tcPr>
            <w:tcW w:w="1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lang w:val="en-US" w:eastAsia="zh-CN" w:bidi="ar"/>
              </w:rPr>
              <w:t>国家级</w:t>
            </w:r>
          </w:p>
        </w:tc>
        <w:tc>
          <w:tcPr>
            <w:tcW w:w="1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lang w:val="en-US" w:eastAsia="zh-CN" w:bidi="ar"/>
              </w:rPr>
              <w:t>省级</w:t>
            </w:r>
          </w:p>
        </w:tc>
        <w:tc>
          <w:tcPr>
            <w:tcW w:w="19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lang w:val="en-US" w:eastAsia="zh-CN" w:bidi="ar"/>
              </w:rPr>
              <w:t>校级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3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14"/>
                <w:rFonts w:eastAsia="宋体"/>
                <w:lang w:val="en-US" w:eastAsia="zh-CN" w:bidi="ar"/>
              </w:rPr>
              <w:t>A</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14"/>
                <w:rFonts w:eastAsia="宋体"/>
                <w:lang w:val="en-US" w:eastAsia="zh-CN" w:bidi="ar"/>
              </w:rPr>
              <w:t>B</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14"/>
                <w:rFonts w:eastAsia="宋体"/>
                <w:lang w:val="en-US" w:eastAsia="zh-CN" w:bidi="ar"/>
              </w:rPr>
              <w:t>A</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14"/>
                <w:rFonts w:eastAsia="宋体"/>
                <w:lang w:val="en-US" w:eastAsia="zh-CN" w:bidi="ar"/>
              </w:rPr>
              <w:t>B</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14"/>
                <w:rFonts w:eastAsia="宋体"/>
                <w:lang w:val="en-US" w:eastAsia="zh-CN" w:bidi="ar"/>
              </w:rPr>
              <w:t>A</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14"/>
                <w:rFonts w:eastAsia="宋体"/>
                <w:lang w:val="en-US" w:eastAsia="zh-CN" w:bidi="ar"/>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lang w:val="en-US" w:eastAsia="zh-CN" w:bidi="ar"/>
              </w:rPr>
              <w:t>主持人</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第二参与人</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2.5</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1.5</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1.5</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3"/>
                <w:rFonts w:hint="default"/>
                <w:lang w:val="en-US" w:eastAsia="zh-CN" w:bidi="ar"/>
              </w:rPr>
            </w:pPr>
            <w:r>
              <w:rPr>
                <w:rStyle w:val="13"/>
                <w:rFonts w:hint="eastAsia"/>
                <w:lang w:val="en-US" w:eastAsia="zh-CN" w:bidi="ar"/>
              </w:rPr>
              <w:t>第三参与人</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1.5</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rFonts w:hint="eastAsia"/>
                <w:lang w:val="en-US" w:eastAsia="zh-CN" w:bidi="ar"/>
              </w:rPr>
              <w:t>其余</w:t>
            </w:r>
            <w:r>
              <w:rPr>
                <w:rStyle w:val="13"/>
                <w:lang w:val="en-US" w:eastAsia="zh-CN" w:bidi="ar"/>
              </w:rPr>
              <w:t>参与人</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0.5</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0.5</w:t>
            </w:r>
          </w:p>
        </w:tc>
        <w:tc>
          <w:tcPr>
            <w:tcW w:w="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0.5</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0.5</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0.5</w:t>
            </w:r>
          </w:p>
        </w:tc>
      </w:tr>
    </w:tbl>
    <w:p>
      <w:pPr>
        <w:ind w:firstLine="640" w:firstLineChars="200"/>
        <w:rPr>
          <w:rFonts w:ascii="仿宋_GB2312" w:hAnsi="宋体" w:eastAsia="仿宋_GB2312"/>
          <w:sz w:val="32"/>
          <w:szCs w:val="32"/>
        </w:rPr>
      </w:pPr>
      <w:r>
        <w:rPr>
          <w:rFonts w:hint="eastAsia" w:ascii="仿宋_GB2312" w:hAnsi="宋体" w:eastAsia="仿宋_GB2312"/>
          <w:sz w:val="32"/>
          <w:szCs w:val="32"/>
        </w:rPr>
        <w:t>注：A指已结题且结果为优秀，B指已结题且结果为合格，未结题</w:t>
      </w:r>
      <w:r>
        <w:rPr>
          <w:rFonts w:hint="eastAsia" w:ascii="仿宋_GB2312" w:hAnsi="宋体" w:eastAsia="仿宋_GB2312"/>
          <w:sz w:val="32"/>
          <w:szCs w:val="32"/>
          <w:lang w:val="en-US" w:eastAsia="zh-CN"/>
        </w:rPr>
        <w:t>项目不予认定</w:t>
      </w:r>
      <w:r>
        <w:rPr>
          <w:rFonts w:hint="eastAsia" w:ascii="仿宋_GB2312" w:hAnsi="宋体" w:eastAsia="仿宋_GB2312"/>
          <w:sz w:val="32"/>
          <w:szCs w:val="32"/>
        </w:rPr>
        <w:t>。</w:t>
      </w:r>
    </w:p>
    <w:p>
      <w:pPr>
        <w:ind w:firstLine="640" w:firstLineChars="200"/>
        <w:rPr>
          <w:rFonts w:ascii="仿宋_GB2312" w:hAnsi="宋体" w:eastAsia="仿宋_GB2312"/>
          <w:sz w:val="32"/>
          <w:szCs w:val="32"/>
        </w:rPr>
      </w:pPr>
      <w:r>
        <w:rPr>
          <w:rFonts w:hint="eastAsia" w:ascii="仿宋_GB2312" w:hAnsi="宋体" w:eastAsia="仿宋_GB2312"/>
          <w:sz w:val="32"/>
          <w:szCs w:val="32"/>
        </w:rPr>
        <w:t>3</w:t>
      </w:r>
      <w:r>
        <w:rPr>
          <w:rFonts w:ascii="仿宋_GB2312" w:hAnsi="宋体" w:eastAsia="仿宋_GB2312"/>
          <w:sz w:val="32"/>
          <w:szCs w:val="32"/>
        </w:rPr>
        <w:t xml:space="preserve">. </w:t>
      </w:r>
      <w:r>
        <w:rPr>
          <w:rFonts w:hint="eastAsia" w:ascii="仿宋_GB2312" w:hAnsi="宋体" w:eastAsia="仿宋_GB2312"/>
          <w:sz w:val="32"/>
          <w:szCs w:val="32"/>
        </w:rPr>
        <w:t>学术成果指参与公开发表与专业相关的学术论文、申请授权的专利或登记的著作权（限认定1项），满分</w:t>
      </w:r>
      <w:r>
        <w:rPr>
          <w:rFonts w:ascii="仿宋_GB2312" w:hAnsi="宋体" w:eastAsia="仿宋_GB2312"/>
          <w:sz w:val="32"/>
          <w:szCs w:val="32"/>
        </w:rPr>
        <w:t>6</w:t>
      </w:r>
      <w:r>
        <w:rPr>
          <w:rFonts w:hint="eastAsia" w:ascii="仿宋_GB2312" w:hAnsi="宋体" w:eastAsia="仿宋_GB2312"/>
          <w:sz w:val="32"/>
          <w:szCs w:val="32"/>
        </w:rPr>
        <w:t>分。记分办法：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770"/>
        <w:gridCol w:w="770"/>
        <w:gridCol w:w="770"/>
        <w:gridCol w:w="770"/>
        <w:gridCol w:w="795"/>
        <w:gridCol w:w="1095"/>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8" w:type="dxa"/>
            <w:vMerge w:val="restart"/>
            <w:noWrap w:val="0"/>
            <w:vAlign w:val="center"/>
          </w:tcPr>
          <w:p>
            <w:pPr>
              <w:spacing w:line="360" w:lineRule="auto"/>
              <w:jc w:val="center"/>
              <w:rPr>
                <w:szCs w:val="21"/>
              </w:rPr>
            </w:pPr>
            <w:r>
              <w:rPr>
                <w:rFonts w:hAnsi="宋体"/>
                <w:szCs w:val="21"/>
              </w:rPr>
              <w:t>类别</w:t>
            </w:r>
          </w:p>
        </w:tc>
        <w:tc>
          <w:tcPr>
            <w:tcW w:w="3875" w:type="dxa"/>
            <w:gridSpan w:val="5"/>
            <w:noWrap w:val="0"/>
            <w:vAlign w:val="top"/>
          </w:tcPr>
          <w:p>
            <w:pPr>
              <w:spacing w:line="360" w:lineRule="auto"/>
              <w:jc w:val="center"/>
              <w:rPr>
                <w:szCs w:val="21"/>
              </w:rPr>
            </w:pPr>
            <w:r>
              <w:rPr>
                <w:rFonts w:hAnsi="宋体"/>
                <w:szCs w:val="21"/>
              </w:rPr>
              <w:t>论文</w:t>
            </w:r>
          </w:p>
        </w:tc>
        <w:tc>
          <w:tcPr>
            <w:tcW w:w="1095" w:type="dxa"/>
            <w:vMerge w:val="restart"/>
            <w:noWrap w:val="0"/>
            <w:vAlign w:val="center"/>
          </w:tcPr>
          <w:p>
            <w:pPr>
              <w:spacing w:line="360" w:lineRule="auto"/>
              <w:jc w:val="center"/>
              <w:rPr>
                <w:szCs w:val="21"/>
              </w:rPr>
            </w:pPr>
            <w:r>
              <w:rPr>
                <w:rFonts w:hAnsi="宋体"/>
                <w:szCs w:val="21"/>
              </w:rPr>
              <w:t>授权专利</w:t>
            </w:r>
          </w:p>
        </w:tc>
        <w:tc>
          <w:tcPr>
            <w:tcW w:w="944" w:type="dxa"/>
            <w:vMerge w:val="restart"/>
            <w:noWrap w:val="0"/>
            <w:vAlign w:val="center"/>
          </w:tcPr>
          <w:p>
            <w:pPr>
              <w:spacing w:line="360" w:lineRule="auto"/>
              <w:jc w:val="center"/>
              <w:rPr>
                <w:szCs w:val="21"/>
              </w:rPr>
            </w:pPr>
            <w:r>
              <w:rPr>
                <w:rFonts w:hAnsi="宋体"/>
                <w:szCs w:val="21"/>
              </w:rPr>
              <w:t>著作权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8" w:type="dxa"/>
            <w:vMerge w:val="continue"/>
            <w:noWrap w:val="0"/>
            <w:vAlign w:val="center"/>
          </w:tcPr>
          <w:p>
            <w:pPr>
              <w:spacing w:line="360" w:lineRule="auto"/>
              <w:jc w:val="center"/>
              <w:rPr>
                <w:szCs w:val="21"/>
              </w:rPr>
            </w:pPr>
          </w:p>
        </w:tc>
        <w:tc>
          <w:tcPr>
            <w:tcW w:w="770" w:type="dxa"/>
            <w:noWrap w:val="0"/>
            <w:vAlign w:val="top"/>
          </w:tcPr>
          <w:p>
            <w:pPr>
              <w:spacing w:line="360" w:lineRule="auto"/>
              <w:jc w:val="center"/>
              <w:rPr>
                <w:szCs w:val="21"/>
              </w:rPr>
            </w:pPr>
            <w:r>
              <w:rPr>
                <w:szCs w:val="21"/>
              </w:rPr>
              <w:t>A</w:t>
            </w:r>
          </w:p>
        </w:tc>
        <w:tc>
          <w:tcPr>
            <w:tcW w:w="770" w:type="dxa"/>
            <w:noWrap w:val="0"/>
            <w:vAlign w:val="center"/>
          </w:tcPr>
          <w:p>
            <w:pPr>
              <w:spacing w:line="360" w:lineRule="auto"/>
              <w:jc w:val="center"/>
              <w:rPr>
                <w:szCs w:val="21"/>
              </w:rPr>
            </w:pPr>
            <w:r>
              <w:rPr>
                <w:szCs w:val="21"/>
              </w:rPr>
              <w:t>B</w:t>
            </w:r>
          </w:p>
        </w:tc>
        <w:tc>
          <w:tcPr>
            <w:tcW w:w="770" w:type="dxa"/>
            <w:noWrap w:val="0"/>
            <w:vAlign w:val="top"/>
          </w:tcPr>
          <w:p>
            <w:pPr>
              <w:spacing w:line="360" w:lineRule="auto"/>
              <w:jc w:val="center"/>
              <w:rPr>
                <w:szCs w:val="21"/>
              </w:rPr>
            </w:pPr>
            <w:r>
              <w:rPr>
                <w:szCs w:val="21"/>
              </w:rPr>
              <w:t>C</w:t>
            </w:r>
          </w:p>
        </w:tc>
        <w:tc>
          <w:tcPr>
            <w:tcW w:w="770" w:type="dxa"/>
            <w:noWrap w:val="0"/>
            <w:vAlign w:val="top"/>
          </w:tcPr>
          <w:p>
            <w:pPr>
              <w:spacing w:line="360" w:lineRule="auto"/>
              <w:jc w:val="center"/>
              <w:rPr>
                <w:szCs w:val="21"/>
              </w:rPr>
            </w:pPr>
            <w:r>
              <w:rPr>
                <w:szCs w:val="21"/>
              </w:rPr>
              <w:t>D</w:t>
            </w:r>
          </w:p>
        </w:tc>
        <w:tc>
          <w:tcPr>
            <w:tcW w:w="795" w:type="dxa"/>
            <w:noWrap w:val="0"/>
            <w:vAlign w:val="top"/>
          </w:tcPr>
          <w:p>
            <w:pPr>
              <w:spacing w:line="360" w:lineRule="auto"/>
              <w:jc w:val="center"/>
              <w:rPr>
                <w:szCs w:val="21"/>
              </w:rPr>
            </w:pPr>
            <w:r>
              <w:rPr>
                <w:szCs w:val="21"/>
              </w:rPr>
              <w:t>E</w:t>
            </w:r>
          </w:p>
        </w:tc>
        <w:tc>
          <w:tcPr>
            <w:tcW w:w="1095" w:type="dxa"/>
            <w:vMerge w:val="continue"/>
            <w:noWrap w:val="0"/>
            <w:vAlign w:val="center"/>
          </w:tcPr>
          <w:p>
            <w:pPr>
              <w:spacing w:line="360" w:lineRule="auto"/>
              <w:jc w:val="center"/>
              <w:rPr>
                <w:szCs w:val="21"/>
              </w:rPr>
            </w:pPr>
          </w:p>
        </w:tc>
        <w:tc>
          <w:tcPr>
            <w:tcW w:w="944" w:type="dxa"/>
            <w:vMerge w:val="continue"/>
            <w:noWrap w:val="0"/>
            <w:vAlign w:val="center"/>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8" w:type="dxa"/>
            <w:noWrap w:val="0"/>
            <w:vAlign w:val="center"/>
          </w:tcPr>
          <w:p>
            <w:pPr>
              <w:spacing w:line="360" w:lineRule="auto"/>
              <w:jc w:val="center"/>
              <w:rPr>
                <w:szCs w:val="21"/>
              </w:rPr>
            </w:pPr>
            <w:r>
              <w:rPr>
                <w:rFonts w:hAnsi="宋体"/>
                <w:szCs w:val="21"/>
              </w:rPr>
              <w:t>第</w:t>
            </w:r>
            <w:r>
              <w:rPr>
                <w:szCs w:val="21"/>
              </w:rPr>
              <w:t>1</w:t>
            </w:r>
            <w:r>
              <w:rPr>
                <w:rFonts w:hint="eastAsia" w:hAnsi="宋体"/>
                <w:szCs w:val="21"/>
              </w:rPr>
              <w:t>排序</w:t>
            </w:r>
          </w:p>
        </w:tc>
        <w:tc>
          <w:tcPr>
            <w:tcW w:w="770" w:type="dxa"/>
            <w:noWrap w:val="0"/>
            <w:vAlign w:val="center"/>
          </w:tcPr>
          <w:p>
            <w:pPr>
              <w:jc w:val="center"/>
              <w:rPr>
                <w:szCs w:val="21"/>
              </w:rPr>
            </w:pPr>
            <w:r>
              <w:rPr>
                <w:rFonts w:hint="eastAsia"/>
                <w:szCs w:val="21"/>
              </w:rPr>
              <w:t>6</w:t>
            </w:r>
          </w:p>
        </w:tc>
        <w:tc>
          <w:tcPr>
            <w:tcW w:w="770" w:type="dxa"/>
            <w:noWrap w:val="0"/>
            <w:vAlign w:val="center"/>
          </w:tcPr>
          <w:p>
            <w:pPr>
              <w:jc w:val="center"/>
              <w:rPr>
                <w:rFonts w:hint="eastAsia"/>
                <w:szCs w:val="21"/>
              </w:rPr>
            </w:pPr>
            <w:r>
              <w:rPr>
                <w:rFonts w:hint="eastAsia"/>
                <w:szCs w:val="21"/>
              </w:rPr>
              <w:t>4</w:t>
            </w:r>
          </w:p>
        </w:tc>
        <w:tc>
          <w:tcPr>
            <w:tcW w:w="770" w:type="dxa"/>
            <w:noWrap w:val="0"/>
            <w:vAlign w:val="center"/>
          </w:tcPr>
          <w:p>
            <w:pPr>
              <w:jc w:val="center"/>
              <w:rPr>
                <w:rFonts w:hint="eastAsia"/>
                <w:szCs w:val="21"/>
              </w:rPr>
            </w:pPr>
            <w:r>
              <w:rPr>
                <w:rFonts w:hint="eastAsia"/>
                <w:szCs w:val="21"/>
              </w:rPr>
              <w:t>3</w:t>
            </w:r>
          </w:p>
        </w:tc>
        <w:tc>
          <w:tcPr>
            <w:tcW w:w="770" w:type="dxa"/>
            <w:noWrap w:val="0"/>
            <w:vAlign w:val="center"/>
          </w:tcPr>
          <w:p>
            <w:pPr>
              <w:jc w:val="center"/>
              <w:rPr>
                <w:szCs w:val="21"/>
              </w:rPr>
            </w:pPr>
            <w:r>
              <w:rPr>
                <w:rFonts w:hint="eastAsia"/>
                <w:szCs w:val="21"/>
              </w:rPr>
              <w:t>3</w:t>
            </w:r>
          </w:p>
        </w:tc>
        <w:tc>
          <w:tcPr>
            <w:tcW w:w="795" w:type="dxa"/>
            <w:noWrap w:val="0"/>
            <w:vAlign w:val="center"/>
          </w:tcPr>
          <w:p>
            <w:pPr>
              <w:jc w:val="center"/>
              <w:rPr>
                <w:rFonts w:hint="eastAsia"/>
                <w:szCs w:val="21"/>
              </w:rPr>
            </w:pPr>
            <w:r>
              <w:rPr>
                <w:rFonts w:hint="eastAsia"/>
                <w:szCs w:val="21"/>
              </w:rPr>
              <w:t>2</w:t>
            </w:r>
          </w:p>
        </w:tc>
        <w:tc>
          <w:tcPr>
            <w:tcW w:w="1095" w:type="dxa"/>
            <w:noWrap w:val="0"/>
            <w:vAlign w:val="center"/>
          </w:tcPr>
          <w:p>
            <w:pPr>
              <w:jc w:val="center"/>
              <w:rPr>
                <w:rFonts w:hint="eastAsia"/>
                <w:szCs w:val="21"/>
              </w:rPr>
            </w:pPr>
            <w:r>
              <w:rPr>
                <w:rFonts w:hint="eastAsia"/>
                <w:szCs w:val="21"/>
              </w:rPr>
              <w:t>4</w:t>
            </w:r>
          </w:p>
        </w:tc>
        <w:tc>
          <w:tcPr>
            <w:tcW w:w="944" w:type="dxa"/>
            <w:noWrap w:val="0"/>
            <w:vAlign w:val="center"/>
          </w:tcPr>
          <w:p>
            <w:pPr>
              <w:jc w:val="center"/>
              <w:rPr>
                <w:rFonts w:hint="eastAsia"/>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8" w:type="dxa"/>
            <w:noWrap w:val="0"/>
            <w:vAlign w:val="center"/>
          </w:tcPr>
          <w:p>
            <w:pPr>
              <w:spacing w:line="360" w:lineRule="auto"/>
              <w:jc w:val="center"/>
              <w:rPr>
                <w:szCs w:val="21"/>
              </w:rPr>
            </w:pPr>
            <w:r>
              <w:rPr>
                <w:rFonts w:hAnsi="宋体"/>
                <w:szCs w:val="21"/>
              </w:rPr>
              <w:t>第</w:t>
            </w:r>
            <w:r>
              <w:rPr>
                <w:szCs w:val="21"/>
              </w:rPr>
              <w:t>2</w:t>
            </w:r>
            <w:r>
              <w:rPr>
                <w:rFonts w:hint="eastAsia" w:hAnsi="宋体"/>
                <w:szCs w:val="21"/>
              </w:rPr>
              <w:t>排序</w:t>
            </w:r>
          </w:p>
        </w:tc>
        <w:tc>
          <w:tcPr>
            <w:tcW w:w="770" w:type="dxa"/>
            <w:noWrap w:val="0"/>
            <w:vAlign w:val="center"/>
          </w:tcPr>
          <w:p>
            <w:pPr>
              <w:jc w:val="center"/>
              <w:rPr>
                <w:szCs w:val="21"/>
              </w:rPr>
            </w:pPr>
            <w:r>
              <w:rPr>
                <w:rFonts w:hint="eastAsia"/>
                <w:szCs w:val="21"/>
              </w:rPr>
              <w:t>3</w:t>
            </w:r>
          </w:p>
        </w:tc>
        <w:tc>
          <w:tcPr>
            <w:tcW w:w="770" w:type="dxa"/>
            <w:noWrap w:val="0"/>
            <w:vAlign w:val="center"/>
          </w:tcPr>
          <w:p>
            <w:pPr>
              <w:jc w:val="center"/>
              <w:rPr>
                <w:szCs w:val="21"/>
              </w:rPr>
            </w:pPr>
            <w:r>
              <w:rPr>
                <w:rFonts w:hint="eastAsia"/>
                <w:szCs w:val="21"/>
              </w:rPr>
              <w:t>2</w:t>
            </w:r>
          </w:p>
        </w:tc>
        <w:tc>
          <w:tcPr>
            <w:tcW w:w="770" w:type="dxa"/>
            <w:noWrap w:val="0"/>
            <w:vAlign w:val="center"/>
          </w:tcPr>
          <w:p>
            <w:pPr>
              <w:jc w:val="center"/>
              <w:rPr>
                <w:rFonts w:hint="eastAsia"/>
                <w:szCs w:val="21"/>
              </w:rPr>
            </w:pPr>
            <w:r>
              <w:rPr>
                <w:rFonts w:hint="eastAsia"/>
                <w:szCs w:val="21"/>
              </w:rPr>
              <w:t>2</w:t>
            </w:r>
          </w:p>
        </w:tc>
        <w:tc>
          <w:tcPr>
            <w:tcW w:w="770" w:type="dxa"/>
            <w:noWrap w:val="0"/>
            <w:vAlign w:val="center"/>
          </w:tcPr>
          <w:p>
            <w:pPr>
              <w:jc w:val="center"/>
              <w:rPr>
                <w:szCs w:val="21"/>
              </w:rPr>
            </w:pPr>
            <w:r>
              <w:rPr>
                <w:rFonts w:hint="eastAsia"/>
                <w:szCs w:val="21"/>
              </w:rPr>
              <w:t>2</w:t>
            </w:r>
          </w:p>
        </w:tc>
        <w:tc>
          <w:tcPr>
            <w:tcW w:w="795" w:type="dxa"/>
            <w:noWrap w:val="0"/>
            <w:vAlign w:val="center"/>
          </w:tcPr>
          <w:p>
            <w:pPr>
              <w:jc w:val="center"/>
              <w:rPr>
                <w:rFonts w:hint="eastAsia"/>
                <w:szCs w:val="21"/>
              </w:rPr>
            </w:pPr>
            <w:r>
              <w:rPr>
                <w:rFonts w:hint="eastAsia"/>
                <w:szCs w:val="21"/>
              </w:rPr>
              <w:t>1</w:t>
            </w:r>
          </w:p>
        </w:tc>
        <w:tc>
          <w:tcPr>
            <w:tcW w:w="1095" w:type="dxa"/>
            <w:noWrap w:val="0"/>
            <w:vAlign w:val="center"/>
          </w:tcPr>
          <w:p>
            <w:pPr>
              <w:jc w:val="center"/>
              <w:rPr>
                <w:szCs w:val="21"/>
              </w:rPr>
            </w:pPr>
            <w:r>
              <w:rPr>
                <w:rFonts w:hint="eastAsia"/>
                <w:szCs w:val="21"/>
              </w:rPr>
              <w:t>3</w:t>
            </w:r>
          </w:p>
        </w:tc>
        <w:tc>
          <w:tcPr>
            <w:tcW w:w="944" w:type="dxa"/>
            <w:noWrap w:val="0"/>
            <w:vAlign w:val="center"/>
          </w:tcPr>
          <w:p>
            <w:pPr>
              <w:jc w:val="center"/>
              <w:rPr>
                <w:rFonts w:hint="eastAsia"/>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8" w:type="dxa"/>
            <w:noWrap w:val="0"/>
            <w:vAlign w:val="center"/>
          </w:tcPr>
          <w:p>
            <w:pPr>
              <w:spacing w:line="360" w:lineRule="auto"/>
              <w:jc w:val="center"/>
              <w:rPr>
                <w:szCs w:val="21"/>
              </w:rPr>
            </w:pPr>
            <w:r>
              <w:rPr>
                <w:rFonts w:hAnsi="宋体"/>
                <w:szCs w:val="21"/>
              </w:rPr>
              <w:t>第</w:t>
            </w:r>
            <w:r>
              <w:rPr>
                <w:szCs w:val="21"/>
              </w:rPr>
              <w:t>3</w:t>
            </w:r>
            <w:r>
              <w:rPr>
                <w:rFonts w:hint="eastAsia" w:hAnsi="宋体"/>
                <w:szCs w:val="21"/>
              </w:rPr>
              <w:t>排序</w:t>
            </w:r>
          </w:p>
        </w:tc>
        <w:tc>
          <w:tcPr>
            <w:tcW w:w="770" w:type="dxa"/>
            <w:noWrap w:val="0"/>
            <w:vAlign w:val="center"/>
          </w:tcPr>
          <w:p>
            <w:pPr>
              <w:jc w:val="center"/>
              <w:rPr>
                <w:szCs w:val="21"/>
              </w:rPr>
            </w:pPr>
            <w:r>
              <w:rPr>
                <w:rFonts w:hint="eastAsia"/>
                <w:szCs w:val="21"/>
              </w:rPr>
              <w:t>2</w:t>
            </w:r>
          </w:p>
        </w:tc>
        <w:tc>
          <w:tcPr>
            <w:tcW w:w="770" w:type="dxa"/>
            <w:noWrap w:val="0"/>
            <w:vAlign w:val="center"/>
          </w:tcPr>
          <w:p>
            <w:pPr>
              <w:jc w:val="center"/>
              <w:rPr>
                <w:szCs w:val="21"/>
              </w:rPr>
            </w:pPr>
            <w:r>
              <w:rPr>
                <w:rFonts w:hint="eastAsia"/>
                <w:szCs w:val="21"/>
              </w:rPr>
              <w:t>1</w:t>
            </w:r>
          </w:p>
        </w:tc>
        <w:tc>
          <w:tcPr>
            <w:tcW w:w="770" w:type="dxa"/>
            <w:noWrap w:val="0"/>
            <w:vAlign w:val="center"/>
          </w:tcPr>
          <w:p>
            <w:pPr>
              <w:jc w:val="center"/>
              <w:rPr>
                <w:rFonts w:hint="eastAsia"/>
                <w:szCs w:val="21"/>
              </w:rPr>
            </w:pPr>
            <w:r>
              <w:rPr>
                <w:rFonts w:hint="eastAsia"/>
                <w:szCs w:val="21"/>
              </w:rPr>
              <w:t>1</w:t>
            </w:r>
          </w:p>
        </w:tc>
        <w:tc>
          <w:tcPr>
            <w:tcW w:w="770" w:type="dxa"/>
            <w:noWrap w:val="0"/>
            <w:vAlign w:val="center"/>
          </w:tcPr>
          <w:p>
            <w:pPr>
              <w:jc w:val="center"/>
              <w:rPr>
                <w:szCs w:val="21"/>
              </w:rPr>
            </w:pPr>
            <w:r>
              <w:rPr>
                <w:rFonts w:hint="eastAsia"/>
                <w:szCs w:val="21"/>
              </w:rPr>
              <w:t>1</w:t>
            </w:r>
          </w:p>
        </w:tc>
        <w:tc>
          <w:tcPr>
            <w:tcW w:w="795" w:type="dxa"/>
            <w:noWrap w:val="0"/>
            <w:vAlign w:val="center"/>
          </w:tcPr>
          <w:p>
            <w:pPr>
              <w:jc w:val="center"/>
              <w:rPr>
                <w:szCs w:val="21"/>
              </w:rPr>
            </w:pPr>
            <w:r>
              <w:rPr>
                <w:rFonts w:hint="eastAsia"/>
                <w:szCs w:val="21"/>
              </w:rPr>
              <w:t>0.5</w:t>
            </w:r>
          </w:p>
        </w:tc>
        <w:tc>
          <w:tcPr>
            <w:tcW w:w="1095" w:type="dxa"/>
            <w:noWrap w:val="0"/>
            <w:vAlign w:val="center"/>
          </w:tcPr>
          <w:p>
            <w:pPr>
              <w:jc w:val="center"/>
              <w:rPr>
                <w:szCs w:val="21"/>
              </w:rPr>
            </w:pPr>
            <w:r>
              <w:rPr>
                <w:rFonts w:hint="eastAsia"/>
                <w:szCs w:val="21"/>
              </w:rPr>
              <w:t>2</w:t>
            </w:r>
          </w:p>
        </w:tc>
        <w:tc>
          <w:tcPr>
            <w:tcW w:w="944" w:type="dxa"/>
            <w:noWrap w:val="0"/>
            <w:vAlign w:val="center"/>
          </w:tcPr>
          <w:p>
            <w:pPr>
              <w:jc w:val="center"/>
              <w:rPr>
                <w:szCs w:val="21"/>
              </w:rPr>
            </w:pPr>
            <w:r>
              <w:rPr>
                <w:rFonts w:hint="eastAsia"/>
                <w:szCs w:val="21"/>
              </w:rPr>
              <w:t>0.5</w:t>
            </w:r>
          </w:p>
        </w:tc>
      </w:tr>
    </w:tbl>
    <w:p>
      <w:pPr>
        <w:ind w:firstLine="640" w:firstLineChars="200"/>
        <w:rPr>
          <w:rFonts w:ascii="仿宋_GB2312" w:hAnsi="宋体" w:eastAsia="仿宋_GB2312"/>
          <w:sz w:val="32"/>
          <w:szCs w:val="32"/>
        </w:rPr>
      </w:pPr>
      <w:r>
        <w:rPr>
          <w:rFonts w:hint="eastAsia" w:ascii="仿宋_GB2312" w:hAnsi="宋体" w:eastAsia="仿宋_GB2312"/>
          <w:sz w:val="32"/>
          <w:szCs w:val="32"/>
        </w:rPr>
        <w:t>注：A指中科院一区期刊，B指中科院二区期刊，C指中科院三区、四区期刊</w:t>
      </w:r>
      <w:r>
        <w:rPr>
          <w:rFonts w:hint="eastAsia" w:ascii="仿宋_GB2312" w:hAnsi="仿宋_GB2312" w:eastAsia="仿宋_GB2312"/>
          <w:sz w:val="32"/>
          <w:szCs w:val="32"/>
        </w:rPr>
        <w:t>，D指中文A类期刊，E指中文核心期刊。论文作者排序按作者自然排序。</w:t>
      </w:r>
    </w:p>
    <w:p>
      <w:pPr>
        <w:ind w:firstLine="640" w:firstLineChars="200"/>
        <w:rPr>
          <w:rFonts w:ascii="仿宋_GB2312" w:hAnsi="宋体" w:eastAsia="仿宋_GB2312"/>
          <w:sz w:val="32"/>
          <w:szCs w:val="32"/>
        </w:rPr>
      </w:pPr>
      <w:r>
        <w:rPr>
          <w:rFonts w:ascii="仿宋_GB2312" w:hAnsi="宋体" w:eastAsia="仿宋_GB2312"/>
          <w:sz w:val="32"/>
          <w:szCs w:val="32"/>
        </w:rPr>
        <w:t xml:space="preserve">4. </w:t>
      </w:r>
      <w:r>
        <w:rPr>
          <w:rFonts w:hint="eastAsia" w:ascii="仿宋_GB2312" w:hAnsi="宋体" w:eastAsia="仿宋_GB2312"/>
          <w:sz w:val="32"/>
          <w:szCs w:val="32"/>
        </w:rPr>
        <w:t>学科竞赛获奖指参与各类学科竞赛、学术竞赛、创新创业大赛并获奖（</w:t>
      </w:r>
      <w:r>
        <w:rPr>
          <w:rFonts w:hint="eastAsia" w:ascii="仿宋_GB2312" w:hAnsi="宋体" w:eastAsia="仿宋_GB2312"/>
          <w:sz w:val="32"/>
          <w:szCs w:val="32"/>
          <w:lang w:val="en-US" w:eastAsia="zh-CN"/>
        </w:rPr>
        <w:t>除</w:t>
      </w:r>
      <w:r>
        <w:rPr>
          <w:rFonts w:hint="eastAsia" w:ascii="仿宋_GB2312" w:hAnsi="宋体" w:eastAsia="仿宋_GB2312"/>
          <w:sz w:val="32"/>
          <w:szCs w:val="32"/>
        </w:rPr>
        <w:t>“互联网+”和“挑战杯”竞赛</w:t>
      </w:r>
      <w:r>
        <w:rPr>
          <w:rFonts w:hint="eastAsia" w:ascii="仿宋_GB2312" w:hAnsi="宋体" w:eastAsia="仿宋_GB2312"/>
          <w:sz w:val="32"/>
          <w:szCs w:val="32"/>
          <w:lang w:val="en-US" w:eastAsia="zh-CN"/>
        </w:rPr>
        <w:t>外</w:t>
      </w:r>
      <w:r>
        <w:rPr>
          <w:rFonts w:hint="eastAsia" w:ascii="仿宋_GB2312" w:hAnsi="宋体" w:eastAsia="仿宋_GB2312"/>
          <w:sz w:val="32"/>
          <w:szCs w:val="32"/>
          <w:lang w:eastAsia="zh-CN"/>
        </w:rPr>
        <w:t>，</w:t>
      </w:r>
      <w:r>
        <w:rPr>
          <w:rFonts w:hint="eastAsia" w:ascii="仿宋_GB2312" w:hAnsi="宋体" w:eastAsia="仿宋_GB2312"/>
          <w:sz w:val="32"/>
          <w:szCs w:val="32"/>
        </w:rPr>
        <w:t>限认定1项），满分</w:t>
      </w:r>
      <w:r>
        <w:rPr>
          <w:rFonts w:ascii="仿宋_GB2312" w:hAnsi="宋体" w:eastAsia="仿宋_GB2312"/>
          <w:sz w:val="32"/>
          <w:szCs w:val="32"/>
        </w:rPr>
        <w:t>8</w:t>
      </w:r>
      <w:r>
        <w:rPr>
          <w:rFonts w:hint="eastAsia" w:ascii="仿宋_GB2312" w:hAnsi="宋体" w:eastAsia="仿宋_GB2312"/>
          <w:sz w:val="32"/>
          <w:szCs w:val="32"/>
        </w:rPr>
        <w:t>分。记分方法：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654"/>
        <w:gridCol w:w="654"/>
        <w:gridCol w:w="654"/>
        <w:gridCol w:w="654"/>
        <w:gridCol w:w="654"/>
        <w:gridCol w:w="654"/>
        <w:gridCol w:w="654"/>
        <w:gridCol w:w="654"/>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Merge w:val="restart"/>
            <w:noWrap w:val="0"/>
            <w:vAlign w:val="center"/>
          </w:tcPr>
          <w:p>
            <w:pPr>
              <w:spacing w:line="360" w:lineRule="auto"/>
              <w:jc w:val="center"/>
              <w:rPr>
                <w:szCs w:val="21"/>
              </w:rPr>
            </w:pPr>
            <w:r>
              <w:rPr>
                <w:rFonts w:hAnsi="宋体"/>
                <w:szCs w:val="21"/>
              </w:rPr>
              <w:t>类别</w:t>
            </w:r>
          </w:p>
        </w:tc>
        <w:tc>
          <w:tcPr>
            <w:tcW w:w="1962" w:type="dxa"/>
            <w:gridSpan w:val="3"/>
            <w:noWrap w:val="0"/>
            <w:vAlign w:val="center"/>
          </w:tcPr>
          <w:p>
            <w:pPr>
              <w:spacing w:line="360" w:lineRule="auto"/>
              <w:jc w:val="center"/>
              <w:rPr>
                <w:rFonts w:hAnsi="宋体"/>
                <w:szCs w:val="21"/>
              </w:rPr>
            </w:pPr>
            <w:r>
              <w:rPr>
                <w:rFonts w:hAnsi="宋体"/>
                <w:szCs w:val="21"/>
              </w:rPr>
              <w:t>国际或国家级</w:t>
            </w:r>
          </w:p>
        </w:tc>
        <w:tc>
          <w:tcPr>
            <w:tcW w:w="1962" w:type="dxa"/>
            <w:gridSpan w:val="3"/>
            <w:noWrap w:val="0"/>
            <w:vAlign w:val="center"/>
          </w:tcPr>
          <w:p>
            <w:pPr>
              <w:spacing w:line="360" w:lineRule="auto"/>
              <w:jc w:val="center"/>
              <w:rPr>
                <w:rFonts w:hAnsi="宋体"/>
                <w:szCs w:val="21"/>
              </w:rPr>
            </w:pPr>
            <w:r>
              <w:rPr>
                <w:rFonts w:hAnsi="宋体"/>
                <w:szCs w:val="21"/>
              </w:rPr>
              <w:t>省部级</w:t>
            </w:r>
          </w:p>
        </w:tc>
        <w:tc>
          <w:tcPr>
            <w:tcW w:w="1964" w:type="dxa"/>
            <w:gridSpan w:val="3"/>
            <w:noWrap w:val="0"/>
            <w:vAlign w:val="center"/>
          </w:tcPr>
          <w:p>
            <w:pPr>
              <w:spacing w:line="360" w:lineRule="auto"/>
              <w:jc w:val="center"/>
              <w:rPr>
                <w:rFonts w:hAnsi="宋体"/>
                <w:szCs w:val="21"/>
              </w:rPr>
            </w:pPr>
            <w:r>
              <w:rPr>
                <w:rFonts w:hint="eastAsia" w:hAnsi="宋体"/>
                <w:szCs w:val="21"/>
              </w:rPr>
              <w:t>市区级或校级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Merge w:val="continue"/>
            <w:noWrap w:val="0"/>
            <w:vAlign w:val="center"/>
          </w:tcPr>
          <w:p>
            <w:pPr>
              <w:spacing w:line="360" w:lineRule="auto"/>
              <w:jc w:val="center"/>
              <w:rPr>
                <w:szCs w:val="21"/>
              </w:rPr>
            </w:pPr>
          </w:p>
        </w:tc>
        <w:tc>
          <w:tcPr>
            <w:tcW w:w="654" w:type="dxa"/>
            <w:noWrap w:val="0"/>
            <w:vAlign w:val="center"/>
          </w:tcPr>
          <w:p>
            <w:pPr>
              <w:spacing w:line="360" w:lineRule="auto"/>
              <w:jc w:val="center"/>
              <w:rPr>
                <w:szCs w:val="21"/>
              </w:rPr>
            </w:pPr>
            <w:r>
              <w:rPr>
                <w:szCs w:val="21"/>
              </w:rPr>
              <w:t>A</w:t>
            </w:r>
          </w:p>
        </w:tc>
        <w:tc>
          <w:tcPr>
            <w:tcW w:w="654" w:type="dxa"/>
            <w:noWrap w:val="0"/>
            <w:vAlign w:val="center"/>
          </w:tcPr>
          <w:p>
            <w:pPr>
              <w:spacing w:line="360" w:lineRule="auto"/>
              <w:jc w:val="center"/>
              <w:rPr>
                <w:szCs w:val="21"/>
              </w:rPr>
            </w:pPr>
            <w:r>
              <w:rPr>
                <w:szCs w:val="21"/>
              </w:rPr>
              <w:t>B</w:t>
            </w:r>
          </w:p>
        </w:tc>
        <w:tc>
          <w:tcPr>
            <w:tcW w:w="654" w:type="dxa"/>
            <w:noWrap w:val="0"/>
            <w:vAlign w:val="center"/>
          </w:tcPr>
          <w:p>
            <w:pPr>
              <w:spacing w:line="360" w:lineRule="auto"/>
              <w:jc w:val="center"/>
              <w:rPr>
                <w:szCs w:val="21"/>
              </w:rPr>
            </w:pPr>
            <w:r>
              <w:rPr>
                <w:szCs w:val="21"/>
              </w:rPr>
              <w:t>C</w:t>
            </w:r>
          </w:p>
        </w:tc>
        <w:tc>
          <w:tcPr>
            <w:tcW w:w="654" w:type="dxa"/>
            <w:noWrap w:val="0"/>
            <w:vAlign w:val="center"/>
          </w:tcPr>
          <w:p>
            <w:pPr>
              <w:spacing w:line="360" w:lineRule="auto"/>
              <w:jc w:val="center"/>
              <w:rPr>
                <w:szCs w:val="21"/>
              </w:rPr>
            </w:pPr>
            <w:r>
              <w:rPr>
                <w:szCs w:val="21"/>
              </w:rPr>
              <w:t>A</w:t>
            </w:r>
          </w:p>
        </w:tc>
        <w:tc>
          <w:tcPr>
            <w:tcW w:w="654" w:type="dxa"/>
            <w:noWrap w:val="0"/>
            <w:vAlign w:val="center"/>
          </w:tcPr>
          <w:p>
            <w:pPr>
              <w:spacing w:line="360" w:lineRule="auto"/>
              <w:jc w:val="center"/>
              <w:rPr>
                <w:szCs w:val="21"/>
              </w:rPr>
            </w:pPr>
            <w:r>
              <w:rPr>
                <w:szCs w:val="21"/>
              </w:rPr>
              <w:t>B</w:t>
            </w:r>
          </w:p>
        </w:tc>
        <w:tc>
          <w:tcPr>
            <w:tcW w:w="654" w:type="dxa"/>
            <w:noWrap w:val="0"/>
            <w:vAlign w:val="center"/>
          </w:tcPr>
          <w:p>
            <w:pPr>
              <w:spacing w:line="360" w:lineRule="auto"/>
              <w:jc w:val="center"/>
              <w:rPr>
                <w:szCs w:val="21"/>
              </w:rPr>
            </w:pPr>
            <w:r>
              <w:rPr>
                <w:szCs w:val="21"/>
              </w:rPr>
              <w:t>C</w:t>
            </w:r>
          </w:p>
        </w:tc>
        <w:tc>
          <w:tcPr>
            <w:tcW w:w="654" w:type="dxa"/>
            <w:noWrap w:val="0"/>
            <w:vAlign w:val="center"/>
          </w:tcPr>
          <w:p>
            <w:pPr>
              <w:spacing w:line="360" w:lineRule="auto"/>
              <w:jc w:val="center"/>
              <w:rPr>
                <w:szCs w:val="21"/>
              </w:rPr>
            </w:pPr>
            <w:r>
              <w:rPr>
                <w:szCs w:val="21"/>
              </w:rPr>
              <w:t>A</w:t>
            </w:r>
          </w:p>
        </w:tc>
        <w:tc>
          <w:tcPr>
            <w:tcW w:w="654" w:type="dxa"/>
            <w:noWrap w:val="0"/>
            <w:vAlign w:val="center"/>
          </w:tcPr>
          <w:p>
            <w:pPr>
              <w:spacing w:line="360" w:lineRule="auto"/>
              <w:jc w:val="center"/>
              <w:rPr>
                <w:szCs w:val="21"/>
              </w:rPr>
            </w:pPr>
            <w:r>
              <w:rPr>
                <w:szCs w:val="21"/>
              </w:rPr>
              <w:t>B</w:t>
            </w:r>
          </w:p>
        </w:tc>
        <w:tc>
          <w:tcPr>
            <w:tcW w:w="656" w:type="dxa"/>
            <w:noWrap w:val="0"/>
            <w:vAlign w:val="center"/>
          </w:tcPr>
          <w:p>
            <w:pPr>
              <w:spacing w:line="360" w:lineRule="auto"/>
              <w:jc w:val="center"/>
              <w:rPr>
                <w:szCs w:val="21"/>
              </w:rPr>
            </w:pPr>
            <w:r>
              <w:rPr>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noWrap w:val="0"/>
            <w:vAlign w:val="center"/>
          </w:tcPr>
          <w:p>
            <w:pPr>
              <w:spacing w:line="360" w:lineRule="auto"/>
              <w:jc w:val="center"/>
              <w:rPr>
                <w:szCs w:val="21"/>
              </w:rPr>
            </w:pPr>
            <w:r>
              <w:rPr>
                <w:rFonts w:hAnsi="宋体"/>
                <w:szCs w:val="21"/>
              </w:rPr>
              <w:t>第</w:t>
            </w:r>
            <w:r>
              <w:rPr>
                <w:szCs w:val="21"/>
              </w:rPr>
              <w:t>1</w:t>
            </w:r>
            <w:r>
              <w:rPr>
                <w:rFonts w:hAnsi="宋体"/>
                <w:szCs w:val="21"/>
              </w:rPr>
              <w:t>获奖人</w:t>
            </w:r>
          </w:p>
        </w:tc>
        <w:tc>
          <w:tcPr>
            <w:tcW w:w="654" w:type="dxa"/>
            <w:noWrap w:val="0"/>
            <w:vAlign w:val="center"/>
          </w:tcPr>
          <w:p>
            <w:pPr>
              <w:jc w:val="center"/>
              <w:rPr>
                <w:szCs w:val="21"/>
              </w:rPr>
            </w:pPr>
            <w:r>
              <w:rPr>
                <w:szCs w:val="21"/>
              </w:rPr>
              <w:t>8</w:t>
            </w:r>
          </w:p>
        </w:tc>
        <w:tc>
          <w:tcPr>
            <w:tcW w:w="654" w:type="dxa"/>
            <w:noWrap w:val="0"/>
            <w:vAlign w:val="center"/>
          </w:tcPr>
          <w:p>
            <w:pPr>
              <w:jc w:val="center"/>
              <w:rPr>
                <w:szCs w:val="21"/>
              </w:rPr>
            </w:pPr>
            <w:r>
              <w:rPr>
                <w:szCs w:val="21"/>
              </w:rPr>
              <w:t>5</w:t>
            </w:r>
          </w:p>
        </w:tc>
        <w:tc>
          <w:tcPr>
            <w:tcW w:w="654" w:type="dxa"/>
            <w:noWrap w:val="0"/>
            <w:vAlign w:val="center"/>
          </w:tcPr>
          <w:p>
            <w:pPr>
              <w:jc w:val="center"/>
              <w:rPr>
                <w:szCs w:val="21"/>
              </w:rPr>
            </w:pPr>
            <w:r>
              <w:rPr>
                <w:rFonts w:hint="eastAsia"/>
                <w:szCs w:val="21"/>
              </w:rPr>
              <w:t>3</w:t>
            </w:r>
          </w:p>
        </w:tc>
        <w:tc>
          <w:tcPr>
            <w:tcW w:w="654" w:type="dxa"/>
            <w:noWrap w:val="0"/>
            <w:vAlign w:val="center"/>
          </w:tcPr>
          <w:p>
            <w:pPr>
              <w:jc w:val="center"/>
              <w:rPr>
                <w:szCs w:val="21"/>
              </w:rPr>
            </w:pPr>
            <w:r>
              <w:rPr>
                <w:szCs w:val="21"/>
              </w:rPr>
              <w:t>5</w:t>
            </w:r>
          </w:p>
        </w:tc>
        <w:tc>
          <w:tcPr>
            <w:tcW w:w="654" w:type="dxa"/>
            <w:noWrap w:val="0"/>
            <w:vAlign w:val="center"/>
          </w:tcPr>
          <w:p>
            <w:pPr>
              <w:jc w:val="center"/>
              <w:rPr>
                <w:szCs w:val="21"/>
              </w:rPr>
            </w:pPr>
            <w:r>
              <w:rPr>
                <w:rFonts w:hint="eastAsia"/>
                <w:szCs w:val="21"/>
              </w:rPr>
              <w:t>3</w:t>
            </w:r>
          </w:p>
        </w:tc>
        <w:tc>
          <w:tcPr>
            <w:tcW w:w="654" w:type="dxa"/>
            <w:noWrap w:val="0"/>
            <w:vAlign w:val="center"/>
          </w:tcPr>
          <w:p>
            <w:pPr>
              <w:jc w:val="center"/>
              <w:rPr>
                <w:rFonts w:hint="eastAsia"/>
                <w:szCs w:val="21"/>
              </w:rPr>
            </w:pPr>
            <w:r>
              <w:rPr>
                <w:rFonts w:hint="eastAsia"/>
                <w:szCs w:val="21"/>
              </w:rPr>
              <w:t>1</w:t>
            </w:r>
          </w:p>
        </w:tc>
        <w:tc>
          <w:tcPr>
            <w:tcW w:w="654" w:type="dxa"/>
            <w:noWrap w:val="0"/>
            <w:vAlign w:val="center"/>
          </w:tcPr>
          <w:p>
            <w:pPr>
              <w:jc w:val="center"/>
              <w:rPr>
                <w:rFonts w:hint="eastAsia"/>
                <w:szCs w:val="21"/>
              </w:rPr>
            </w:pPr>
            <w:r>
              <w:rPr>
                <w:rFonts w:hint="eastAsia"/>
                <w:szCs w:val="21"/>
              </w:rPr>
              <w:t>2</w:t>
            </w:r>
          </w:p>
        </w:tc>
        <w:tc>
          <w:tcPr>
            <w:tcW w:w="654" w:type="dxa"/>
            <w:noWrap w:val="0"/>
            <w:vAlign w:val="center"/>
          </w:tcPr>
          <w:p>
            <w:pPr>
              <w:jc w:val="center"/>
              <w:rPr>
                <w:rFonts w:hint="eastAsia"/>
                <w:szCs w:val="21"/>
              </w:rPr>
            </w:pPr>
            <w:r>
              <w:rPr>
                <w:rFonts w:hint="eastAsia"/>
                <w:szCs w:val="21"/>
              </w:rPr>
              <w:t>1</w:t>
            </w:r>
          </w:p>
        </w:tc>
        <w:tc>
          <w:tcPr>
            <w:tcW w:w="656" w:type="dxa"/>
            <w:noWrap w:val="0"/>
            <w:vAlign w:val="center"/>
          </w:tcPr>
          <w:p>
            <w:pPr>
              <w:jc w:val="center"/>
              <w:rPr>
                <w:szCs w:val="21"/>
              </w:rPr>
            </w:pPr>
            <w:r>
              <w:rPr>
                <w:rFonts w:hint="eastAsia"/>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noWrap w:val="0"/>
            <w:vAlign w:val="center"/>
          </w:tcPr>
          <w:p>
            <w:pPr>
              <w:spacing w:line="360" w:lineRule="auto"/>
              <w:jc w:val="center"/>
              <w:rPr>
                <w:szCs w:val="21"/>
              </w:rPr>
            </w:pPr>
            <w:r>
              <w:rPr>
                <w:rFonts w:hAnsi="宋体"/>
                <w:szCs w:val="21"/>
              </w:rPr>
              <w:t>第</w:t>
            </w:r>
            <w:r>
              <w:rPr>
                <w:szCs w:val="21"/>
              </w:rPr>
              <w:t>2</w:t>
            </w:r>
            <w:r>
              <w:rPr>
                <w:rFonts w:hAnsi="宋体"/>
                <w:szCs w:val="21"/>
              </w:rPr>
              <w:t>获奖人</w:t>
            </w:r>
          </w:p>
        </w:tc>
        <w:tc>
          <w:tcPr>
            <w:tcW w:w="654" w:type="dxa"/>
            <w:noWrap w:val="0"/>
            <w:vAlign w:val="center"/>
          </w:tcPr>
          <w:p>
            <w:pPr>
              <w:jc w:val="center"/>
              <w:rPr>
                <w:szCs w:val="21"/>
              </w:rPr>
            </w:pPr>
            <w:r>
              <w:rPr>
                <w:szCs w:val="21"/>
              </w:rPr>
              <w:t>5</w:t>
            </w:r>
          </w:p>
        </w:tc>
        <w:tc>
          <w:tcPr>
            <w:tcW w:w="654" w:type="dxa"/>
            <w:noWrap w:val="0"/>
            <w:vAlign w:val="center"/>
          </w:tcPr>
          <w:p>
            <w:pPr>
              <w:jc w:val="center"/>
              <w:rPr>
                <w:szCs w:val="21"/>
              </w:rPr>
            </w:pPr>
            <w:r>
              <w:rPr>
                <w:rFonts w:hint="eastAsia"/>
                <w:szCs w:val="21"/>
              </w:rPr>
              <w:t>3</w:t>
            </w:r>
          </w:p>
        </w:tc>
        <w:tc>
          <w:tcPr>
            <w:tcW w:w="654" w:type="dxa"/>
            <w:noWrap w:val="0"/>
            <w:vAlign w:val="center"/>
          </w:tcPr>
          <w:p>
            <w:pPr>
              <w:jc w:val="center"/>
              <w:rPr>
                <w:szCs w:val="21"/>
              </w:rPr>
            </w:pPr>
            <w:r>
              <w:rPr>
                <w:rFonts w:hint="eastAsia"/>
                <w:szCs w:val="21"/>
              </w:rPr>
              <w:t>2</w:t>
            </w:r>
          </w:p>
        </w:tc>
        <w:tc>
          <w:tcPr>
            <w:tcW w:w="654" w:type="dxa"/>
            <w:noWrap w:val="0"/>
            <w:vAlign w:val="center"/>
          </w:tcPr>
          <w:p>
            <w:pPr>
              <w:jc w:val="center"/>
              <w:rPr>
                <w:szCs w:val="21"/>
              </w:rPr>
            </w:pPr>
            <w:r>
              <w:rPr>
                <w:rFonts w:hint="eastAsia"/>
                <w:szCs w:val="21"/>
              </w:rPr>
              <w:t>3</w:t>
            </w:r>
          </w:p>
        </w:tc>
        <w:tc>
          <w:tcPr>
            <w:tcW w:w="654" w:type="dxa"/>
            <w:noWrap w:val="0"/>
            <w:vAlign w:val="center"/>
          </w:tcPr>
          <w:p>
            <w:pPr>
              <w:jc w:val="center"/>
              <w:rPr>
                <w:szCs w:val="21"/>
              </w:rPr>
            </w:pPr>
            <w:r>
              <w:rPr>
                <w:rFonts w:hint="eastAsia"/>
                <w:szCs w:val="21"/>
              </w:rPr>
              <w:t>2</w:t>
            </w:r>
          </w:p>
        </w:tc>
        <w:tc>
          <w:tcPr>
            <w:tcW w:w="654" w:type="dxa"/>
            <w:noWrap w:val="0"/>
            <w:vAlign w:val="center"/>
          </w:tcPr>
          <w:p>
            <w:pPr>
              <w:jc w:val="center"/>
              <w:rPr>
                <w:szCs w:val="21"/>
              </w:rPr>
            </w:pPr>
            <w:r>
              <w:rPr>
                <w:rFonts w:hint="eastAsia"/>
                <w:szCs w:val="21"/>
              </w:rPr>
              <w:t>0.5</w:t>
            </w:r>
          </w:p>
        </w:tc>
        <w:tc>
          <w:tcPr>
            <w:tcW w:w="654" w:type="dxa"/>
            <w:noWrap w:val="0"/>
            <w:vAlign w:val="center"/>
          </w:tcPr>
          <w:p>
            <w:pPr>
              <w:jc w:val="center"/>
              <w:rPr>
                <w:rFonts w:hint="eastAsia"/>
                <w:szCs w:val="21"/>
              </w:rPr>
            </w:pPr>
            <w:r>
              <w:rPr>
                <w:rFonts w:hint="eastAsia"/>
                <w:szCs w:val="21"/>
              </w:rPr>
              <w:t>1</w:t>
            </w:r>
          </w:p>
        </w:tc>
        <w:tc>
          <w:tcPr>
            <w:tcW w:w="654" w:type="dxa"/>
            <w:noWrap w:val="0"/>
            <w:vAlign w:val="center"/>
          </w:tcPr>
          <w:p>
            <w:pPr>
              <w:jc w:val="center"/>
              <w:rPr>
                <w:szCs w:val="21"/>
              </w:rPr>
            </w:pPr>
            <w:r>
              <w:rPr>
                <w:rFonts w:hint="eastAsia"/>
                <w:szCs w:val="21"/>
              </w:rPr>
              <w:t>0.5</w:t>
            </w:r>
          </w:p>
        </w:tc>
        <w:tc>
          <w:tcPr>
            <w:tcW w:w="656" w:type="dxa"/>
            <w:noWrap w:val="0"/>
            <w:vAlign w:val="center"/>
          </w:tcPr>
          <w:p>
            <w:pPr>
              <w:jc w:val="center"/>
              <w:rPr>
                <w:szCs w:val="21"/>
              </w:rPr>
            </w:pPr>
            <w:r>
              <w:rPr>
                <w:rFonts w:hint="eastAsia"/>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noWrap w:val="0"/>
            <w:vAlign w:val="center"/>
          </w:tcPr>
          <w:p>
            <w:pPr>
              <w:spacing w:line="360" w:lineRule="auto"/>
              <w:jc w:val="center"/>
              <w:rPr>
                <w:szCs w:val="21"/>
              </w:rPr>
            </w:pPr>
            <w:r>
              <w:rPr>
                <w:rFonts w:hAnsi="宋体"/>
                <w:szCs w:val="21"/>
              </w:rPr>
              <w:t>第</w:t>
            </w:r>
            <w:r>
              <w:rPr>
                <w:szCs w:val="21"/>
              </w:rPr>
              <w:t>3</w:t>
            </w:r>
            <w:r>
              <w:rPr>
                <w:rFonts w:hAnsi="宋体"/>
                <w:szCs w:val="21"/>
              </w:rPr>
              <w:t>获奖人</w:t>
            </w:r>
          </w:p>
        </w:tc>
        <w:tc>
          <w:tcPr>
            <w:tcW w:w="654" w:type="dxa"/>
            <w:noWrap w:val="0"/>
            <w:vAlign w:val="center"/>
          </w:tcPr>
          <w:p>
            <w:pPr>
              <w:jc w:val="center"/>
              <w:rPr>
                <w:szCs w:val="21"/>
              </w:rPr>
            </w:pPr>
            <w:r>
              <w:rPr>
                <w:rFonts w:hint="eastAsia"/>
                <w:szCs w:val="21"/>
              </w:rPr>
              <w:t>3</w:t>
            </w:r>
          </w:p>
        </w:tc>
        <w:tc>
          <w:tcPr>
            <w:tcW w:w="654" w:type="dxa"/>
            <w:noWrap w:val="0"/>
            <w:vAlign w:val="center"/>
          </w:tcPr>
          <w:p>
            <w:pPr>
              <w:jc w:val="center"/>
              <w:rPr>
                <w:szCs w:val="21"/>
              </w:rPr>
            </w:pPr>
            <w:r>
              <w:rPr>
                <w:rFonts w:hint="eastAsia"/>
                <w:szCs w:val="21"/>
              </w:rPr>
              <w:t>2</w:t>
            </w:r>
          </w:p>
        </w:tc>
        <w:tc>
          <w:tcPr>
            <w:tcW w:w="654" w:type="dxa"/>
            <w:noWrap w:val="0"/>
            <w:vAlign w:val="center"/>
          </w:tcPr>
          <w:p>
            <w:pPr>
              <w:jc w:val="center"/>
              <w:rPr>
                <w:szCs w:val="21"/>
              </w:rPr>
            </w:pPr>
            <w:r>
              <w:rPr>
                <w:rFonts w:hint="eastAsia"/>
                <w:szCs w:val="21"/>
              </w:rPr>
              <w:t>1</w:t>
            </w:r>
          </w:p>
        </w:tc>
        <w:tc>
          <w:tcPr>
            <w:tcW w:w="654" w:type="dxa"/>
            <w:noWrap w:val="0"/>
            <w:vAlign w:val="center"/>
          </w:tcPr>
          <w:p>
            <w:pPr>
              <w:jc w:val="center"/>
              <w:rPr>
                <w:szCs w:val="21"/>
              </w:rPr>
            </w:pPr>
            <w:r>
              <w:rPr>
                <w:rFonts w:hint="eastAsia"/>
                <w:szCs w:val="21"/>
              </w:rPr>
              <w:t>2</w:t>
            </w:r>
          </w:p>
        </w:tc>
        <w:tc>
          <w:tcPr>
            <w:tcW w:w="654" w:type="dxa"/>
            <w:noWrap w:val="0"/>
            <w:vAlign w:val="center"/>
          </w:tcPr>
          <w:p>
            <w:pPr>
              <w:jc w:val="center"/>
              <w:rPr>
                <w:szCs w:val="21"/>
              </w:rPr>
            </w:pPr>
            <w:r>
              <w:rPr>
                <w:rFonts w:hint="eastAsia"/>
                <w:szCs w:val="21"/>
              </w:rPr>
              <w:t>1</w:t>
            </w:r>
          </w:p>
        </w:tc>
        <w:tc>
          <w:tcPr>
            <w:tcW w:w="654" w:type="dxa"/>
            <w:noWrap w:val="0"/>
            <w:vAlign w:val="center"/>
          </w:tcPr>
          <w:p>
            <w:pPr>
              <w:jc w:val="center"/>
              <w:rPr>
                <w:szCs w:val="21"/>
              </w:rPr>
            </w:pPr>
            <w:r>
              <w:rPr>
                <w:rFonts w:hint="eastAsia"/>
                <w:szCs w:val="21"/>
              </w:rPr>
              <w:t>0</w:t>
            </w:r>
          </w:p>
        </w:tc>
        <w:tc>
          <w:tcPr>
            <w:tcW w:w="654" w:type="dxa"/>
            <w:noWrap w:val="0"/>
            <w:vAlign w:val="center"/>
          </w:tcPr>
          <w:p>
            <w:pPr>
              <w:jc w:val="center"/>
              <w:rPr>
                <w:szCs w:val="21"/>
              </w:rPr>
            </w:pPr>
            <w:r>
              <w:rPr>
                <w:rFonts w:hint="eastAsia"/>
                <w:szCs w:val="21"/>
              </w:rPr>
              <w:t>0.5</w:t>
            </w:r>
          </w:p>
        </w:tc>
        <w:tc>
          <w:tcPr>
            <w:tcW w:w="654" w:type="dxa"/>
            <w:noWrap w:val="0"/>
            <w:vAlign w:val="center"/>
          </w:tcPr>
          <w:p>
            <w:pPr>
              <w:jc w:val="center"/>
              <w:rPr>
                <w:szCs w:val="21"/>
              </w:rPr>
            </w:pPr>
            <w:r>
              <w:rPr>
                <w:rFonts w:hint="eastAsia"/>
                <w:szCs w:val="21"/>
              </w:rPr>
              <w:t>0</w:t>
            </w:r>
          </w:p>
        </w:tc>
        <w:tc>
          <w:tcPr>
            <w:tcW w:w="656" w:type="dxa"/>
            <w:noWrap w:val="0"/>
            <w:vAlign w:val="center"/>
          </w:tcPr>
          <w:p>
            <w:pPr>
              <w:jc w:val="center"/>
              <w:rPr>
                <w:szCs w:val="21"/>
              </w:rPr>
            </w:pPr>
            <w:r>
              <w:rPr>
                <w:szCs w:val="21"/>
              </w:rPr>
              <w:t>0</w:t>
            </w:r>
          </w:p>
        </w:tc>
      </w:tr>
    </w:tbl>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注：A等指特等奖、一等奖、金奖，B等指二等奖、银奖、单项一等奖，C等指三等奖、铜奖、单项二等奖。</w:t>
      </w:r>
    </w:p>
    <w:p>
      <w:pPr>
        <w:ind w:firstLine="640" w:firstLineChars="200"/>
        <w:rPr>
          <w:rFonts w:ascii="仿宋_GB2312" w:hAnsi="宋体" w:eastAsia="仿宋_GB2312"/>
          <w:sz w:val="32"/>
          <w:szCs w:val="32"/>
        </w:rPr>
      </w:pPr>
      <w:r>
        <w:rPr>
          <w:rFonts w:ascii="仿宋_GB2312" w:hAnsi="宋体" w:eastAsia="仿宋_GB2312"/>
          <w:sz w:val="32"/>
          <w:szCs w:val="32"/>
        </w:rPr>
        <w:t xml:space="preserve">5. </w:t>
      </w:r>
      <w:r>
        <w:rPr>
          <w:rFonts w:hint="eastAsia" w:ascii="仿宋_GB2312" w:hAnsi="宋体" w:eastAsia="仿宋_GB2312"/>
          <w:sz w:val="32"/>
          <w:szCs w:val="32"/>
        </w:rPr>
        <w:t>科研能力综合评价采用专家教授现场打分，满分75分。内容包括英语能力、科研能力等。</w:t>
      </w:r>
    </w:p>
    <w:p>
      <w:pPr>
        <w:spacing w:line="560" w:lineRule="exact"/>
        <w:ind w:firstLine="640" w:firstLineChars="200"/>
        <w:rPr>
          <w:rFonts w:ascii="仿宋_GB2312" w:hAnsi="宋体" w:eastAsia="仿宋_GB2312"/>
          <w:sz w:val="32"/>
          <w:szCs w:val="32"/>
        </w:rPr>
      </w:pPr>
      <w:r>
        <w:rPr>
          <w:rFonts w:ascii="仿宋_GB2312" w:hAnsi="宋体" w:eastAsia="仿宋_GB2312"/>
          <w:sz w:val="32"/>
          <w:szCs w:val="32"/>
        </w:rPr>
        <w:t>6</w:t>
      </w:r>
      <w:r>
        <w:rPr>
          <w:rFonts w:hint="eastAsia" w:ascii="仿宋_GB2312" w:hAnsi="宋体" w:eastAsia="仿宋_GB2312"/>
          <w:sz w:val="32"/>
          <w:szCs w:val="32"/>
        </w:rPr>
        <w:t>.</w:t>
      </w:r>
      <w:r>
        <w:rPr>
          <w:rFonts w:ascii="仿宋_GB2312" w:hAnsi="宋体" w:eastAsia="仿宋_GB2312"/>
          <w:sz w:val="32"/>
          <w:szCs w:val="32"/>
        </w:rPr>
        <w:t xml:space="preserve"> </w:t>
      </w:r>
      <w:r>
        <w:rPr>
          <w:rFonts w:hint="eastAsia" w:ascii="仿宋_GB2312" w:hAnsi="宋体" w:eastAsia="仿宋_GB2312"/>
          <w:sz w:val="32"/>
          <w:szCs w:val="32"/>
        </w:rPr>
        <w:t>单列加分项。参与“互联网+”大学生创新创业大赛和“挑战杯”全国大学生课外学术科技作品竞赛两类竞赛获奖可单列加分项（限认定一项），满分25分。计分办法：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654"/>
        <w:gridCol w:w="654"/>
        <w:gridCol w:w="654"/>
        <w:gridCol w:w="654"/>
        <w:gridCol w:w="654"/>
        <w:gridCol w:w="654"/>
        <w:gridCol w:w="654"/>
        <w:gridCol w:w="654"/>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Merge w:val="restart"/>
            <w:noWrap w:val="0"/>
            <w:vAlign w:val="center"/>
          </w:tcPr>
          <w:p>
            <w:pPr>
              <w:spacing w:line="360" w:lineRule="auto"/>
              <w:jc w:val="center"/>
              <w:rPr>
                <w:szCs w:val="21"/>
              </w:rPr>
            </w:pPr>
            <w:r>
              <w:rPr>
                <w:rFonts w:hAnsi="宋体"/>
                <w:szCs w:val="21"/>
              </w:rPr>
              <w:t>类别</w:t>
            </w:r>
          </w:p>
        </w:tc>
        <w:tc>
          <w:tcPr>
            <w:tcW w:w="1962" w:type="dxa"/>
            <w:gridSpan w:val="3"/>
            <w:noWrap w:val="0"/>
            <w:vAlign w:val="center"/>
          </w:tcPr>
          <w:p>
            <w:pPr>
              <w:spacing w:line="360" w:lineRule="auto"/>
              <w:jc w:val="center"/>
              <w:rPr>
                <w:rFonts w:hAnsi="宋体"/>
                <w:szCs w:val="21"/>
              </w:rPr>
            </w:pPr>
            <w:r>
              <w:rPr>
                <w:rFonts w:hAnsi="宋体"/>
                <w:szCs w:val="21"/>
              </w:rPr>
              <w:t>国家级</w:t>
            </w:r>
          </w:p>
        </w:tc>
        <w:tc>
          <w:tcPr>
            <w:tcW w:w="1962" w:type="dxa"/>
            <w:gridSpan w:val="3"/>
            <w:noWrap w:val="0"/>
            <w:vAlign w:val="center"/>
          </w:tcPr>
          <w:p>
            <w:pPr>
              <w:spacing w:line="360" w:lineRule="auto"/>
              <w:jc w:val="center"/>
              <w:rPr>
                <w:rFonts w:hAnsi="宋体"/>
                <w:szCs w:val="21"/>
              </w:rPr>
            </w:pPr>
            <w:r>
              <w:rPr>
                <w:rFonts w:hAnsi="宋体"/>
                <w:szCs w:val="21"/>
              </w:rPr>
              <w:t>省级</w:t>
            </w:r>
          </w:p>
        </w:tc>
        <w:tc>
          <w:tcPr>
            <w:tcW w:w="1964" w:type="dxa"/>
            <w:gridSpan w:val="3"/>
            <w:noWrap w:val="0"/>
            <w:vAlign w:val="center"/>
          </w:tcPr>
          <w:p>
            <w:pPr>
              <w:spacing w:line="360" w:lineRule="auto"/>
              <w:jc w:val="center"/>
              <w:rPr>
                <w:rFonts w:hAnsi="宋体"/>
                <w:szCs w:val="21"/>
              </w:rPr>
            </w:pPr>
            <w:r>
              <w:rPr>
                <w:rFonts w:hint="eastAsia" w:hAnsi="宋体"/>
                <w:szCs w:val="21"/>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Merge w:val="continue"/>
            <w:noWrap w:val="0"/>
            <w:vAlign w:val="center"/>
          </w:tcPr>
          <w:p>
            <w:pPr>
              <w:spacing w:line="360" w:lineRule="auto"/>
              <w:jc w:val="center"/>
              <w:rPr>
                <w:szCs w:val="21"/>
              </w:rPr>
            </w:pPr>
          </w:p>
        </w:tc>
        <w:tc>
          <w:tcPr>
            <w:tcW w:w="654" w:type="dxa"/>
            <w:noWrap w:val="0"/>
            <w:vAlign w:val="center"/>
          </w:tcPr>
          <w:p>
            <w:pPr>
              <w:spacing w:line="360" w:lineRule="auto"/>
              <w:jc w:val="center"/>
              <w:rPr>
                <w:szCs w:val="21"/>
              </w:rPr>
            </w:pPr>
            <w:r>
              <w:rPr>
                <w:szCs w:val="21"/>
              </w:rPr>
              <w:t>A</w:t>
            </w:r>
          </w:p>
        </w:tc>
        <w:tc>
          <w:tcPr>
            <w:tcW w:w="654" w:type="dxa"/>
            <w:noWrap w:val="0"/>
            <w:vAlign w:val="center"/>
          </w:tcPr>
          <w:p>
            <w:pPr>
              <w:spacing w:line="360" w:lineRule="auto"/>
              <w:jc w:val="center"/>
              <w:rPr>
                <w:szCs w:val="21"/>
              </w:rPr>
            </w:pPr>
            <w:r>
              <w:rPr>
                <w:szCs w:val="21"/>
              </w:rPr>
              <w:t>B</w:t>
            </w:r>
          </w:p>
        </w:tc>
        <w:tc>
          <w:tcPr>
            <w:tcW w:w="654" w:type="dxa"/>
            <w:noWrap w:val="0"/>
            <w:vAlign w:val="center"/>
          </w:tcPr>
          <w:p>
            <w:pPr>
              <w:spacing w:line="360" w:lineRule="auto"/>
              <w:jc w:val="center"/>
              <w:rPr>
                <w:szCs w:val="21"/>
              </w:rPr>
            </w:pPr>
            <w:r>
              <w:rPr>
                <w:szCs w:val="21"/>
              </w:rPr>
              <w:t>C</w:t>
            </w:r>
          </w:p>
        </w:tc>
        <w:tc>
          <w:tcPr>
            <w:tcW w:w="654" w:type="dxa"/>
            <w:noWrap w:val="0"/>
            <w:vAlign w:val="center"/>
          </w:tcPr>
          <w:p>
            <w:pPr>
              <w:spacing w:line="360" w:lineRule="auto"/>
              <w:jc w:val="center"/>
              <w:rPr>
                <w:szCs w:val="21"/>
              </w:rPr>
            </w:pPr>
            <w:r>
              <w:rPr>
                <w:szCs w:val="21"/>
              </w:rPr>
              <w:t>A</w:t>
            </w:r>
          </w:p>
        </w:tc>
        <w:tc>
          <w:tcPr>
            <w:tcW w:w="654" w:type="dxa"/>
            <w:noWrap w:val="0"/>
            <w:vAlign w:val="center"/>
          </w:tcPr>
          <w:p>
            <w:pPr>
              <w:spacing w:line="360" w:lineRule="auto"/>
              <w:jc w:val="center"/>
              <w:rPr>
                <w:szCs w:val="21"/>
              </w:rPr>
            </w:pPr>
            <w:r>
              <w:rPr>
                <w:szCs w:val="21"/>
              </w:rPr>
              <w:t>B</w:t>
            </w:r>
          </w:p>
        </w:tc>
        <w:tc>
          <w:tcPr>
            <w:tcW w:w="654" w:type="dxa"/>
            <w:noWrap w:val="0"/>
            <w:vAlign w:val="center"/>
          </w:tcPr>
          <w:p>
            <w:pPr>
              <w:spacing w:line="360" w:lineRule="auto"/>
              <w:jc w:val="center"/>
              <w:rPr>
                <w:szCs w:val="21"/>
              </w:rPr>
            </w:pPr>
            <w:r>
              <w:rPr>
                <w:szCs w:val="21"/>
              </w:rPr>
              <w:t>C</w:t>
            </w:r>
          </w:p>
        </w:tc>
        <w:tc>
          <w:tcPr>
            <w:tcW w:w="654" w:type="dxa"/>
            <w:noWrap w:val="0"/>
            <w:vAlign w:val="center"/>
          </w:tcPr>
          <w:p>
            <w:pPr>
              <w:spacing w:line="360" w:lineRule="auto"/>
              <w:jc w:val="center"/>
              <w:rPr>
                <w:szCs w:val="21"/>
              </w:rPr>
            </w:pPr>
            <w:r>
              <w:rPr>
                <w:szCs w:val="21"/>
              </w:rPr>
              <w:t>A</w:t>
            </w:r>
          </w:p>
        </w:tc>
        <w:tc>
          <w:tcPr>
            <w:tcW w:w="654" w:type="dxa"/>
            <w:noWrap w:val="0"/>
            <w:vAlign w:val="center"/>
          </w:tcPr>
          <w:p>
            <w:pPr>
              <w:spacing w:line="360" w:lineRule="auto"/>
              <w:jc w:val="center"/>
              <w:rPr>
                <w:szCs w:val="21"/>
              </w:rPr>
            </w:pPr>
            <w:r>
              <w:rPr>
                <w:szCs w:val="21"/>
              </w:rPr>
              <w:t>B</w:t>
            </w:r>
          </w:p>
        </w:tc>
        <w:tc>
          <w:tcPr>
            <w:tcW w:w="656" w:type="dxa"/>
            <w:noWrap w:val="0"/>
            <w:vAlign w:val="center"/>
          </w:tcPr>
          <w:p>
            <w:pPr>
              <w:spacing w:line="360" w:lineRule="auto"/>
              <w:jc w:val="center"/>
              <w:rPr>
                <w:szCs w:val="21"/>
              </w:rPr>
            </w:pPr>
            <w:r>
              <w:rPr>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noWrap w:val="0"/>
            <w:vAlign w:val="center"/>
          </w:tcPr>
          <w:p>
            <w:pPr>
              <w:spacing w:line="360" w:lineRule="auto"/>
              <w:jc w:val="center"/>
              <w:rPr>
                <w:szCs w:val="21"/>
              </w:rPr>
            </w:pPr>
            <w:r>
              <w:rPr>
                <w:rFonts w:hAnsi="宋体"/>
                <w:szCs w:val="21"/>
              </w:rPr>
              <w:t>第</w:t>
            </w:r>
            <w:r>
              <w:rPr>
                <w:szCs w:val="21"/>
              </w:rPr>
              <w:t>1</w:t>
            </w:r>
            <w:r>
              <w:rPr>
                <w:rFonts w:hAnsi="宋体"/>
                <w:szCs w:val="21"/>
              </w:rPr>
              <w:t>获奖人</w:t>
            </w:r>
          </w:p>
        </w:tc>
        <w:tc>
          <w:tcPr>
            <w:tcW w:w="654" w:type="dxa"/>
            <w:noWrap w:val="0"/>
            <w:vAlign w:val="center"/>
          </w:tcPr>
          <w:p>
            <w:pPr>
              <w:jc w:val="center"/>
              <w:rPr>
                <w:szCs w:val="21"/>
              </w:rPr>
            </w:pPr>
            <w:r>
              <w:rPr>
                <w:rFonts w:hint="eastAsia"/>
                <w:szCs w:val="21"/>
              </w:rPr>
              <w:t>25</w:t>
            </w:r>
          </w:p>
        </w:tc>
        <w:tc>
          <w:tcPr>
            <w:tcW w:w="654" w:type="dxa"/>
            <w:noWrap w:val="0"/>
            <w:vAlign w:val="center"/>
          </w:tcPr>
          <w:p>
            <w:pPr>
              <w:jc w:val="center"/>
              <w:rPr>
                <w:szCs w:val="21"/>
              </w:rPr>
            </w:pPr>
            <w:r>
              <w:rPr>
                <w:rFonts w:hint="eastAsia"/>
                <w:szCs w:val="21"/>
              </w:rPr>
              <w:t>20</w:t>
            </w:r>
          </w:p>
        </w:tc>
        <w:tc>
          <w:tcPr>
            <w:tcW w:w="654" w:type="dxa"/>
            <w:noWrap w:val="0"/>
            <w:vAlign w:val="center"/>
          </w:tcPr>
          <w:p>
            <w:pPr>
              <w:jc w:val="center"/>
              <w:rPr>
                <w:szCs w:val="21"/>
              </w:rPr>
            </w:pPr>
            <w:r>
              <w:rPr>
                <w:rFonts w:hint="eastAsia"/>
                <w:szCs w:val="21"/>
              </w:rPr>
              <w:t>15</w:t>
            </w:r>
          </w:p>
        </w:tc>
        <w:tc>
          <w:tcPr>
            <w:tcW w:w="654" w:type="dxa"/>
            <w:noWrap w:val="0"/>
            <w:vAlign w:val="center"/>
          </w:tcPr>
          <w:p>
            <w:pPr>
              <w:jc w:val="center"/>
              <w:rPr>
                <w:szCs w:val="21"/>
              </w:rPr>
            </w:pPr>
            <w:r>
              <w:rPr>
                <w:rFonts w:hint="eastAsia"/>
                <w:szCs w:val="21"/>
              </w:rPr>
              <w:t>10</w:t>
            </w:r>
          </w:p>
        </w:tc>
        <w:tc>
          <w:tcPr>
            <w:tcW w:w="654" w:type="dxa"/>
            <w:noWrap w:val="0"/>
            <w:vAlign w:val="center"/>
          </w:tcPr>
          <w:p>
            <w:pPr>
              <w:jc w:val="center"/>
              <w:rPr>
                <w:rFonts w:hint="eastAsia"/>
                <w:szCs w:val="21"/>
              </w:rPr>
            </w:pPr>
            <w:r>
              <w:rPr>
                <w:rFonts w:hint="eastAsia"/>
                <w:szCs w:val="21"/>
              </w:rPr>
              <w:t>8</w:t>
            </w:r>
          </w:p>
        </w:tc>
        <w:tc>
          <w:tcPr>
            <w:tcW w:w="654" w:type="dxa"/>
            <w:noWrap w:val="0"/>
            <w:vAlign w:val="center"/>
          </w:tcPr>
          <w:p>
            <w:pPr>
              <w:jc w:val="center"/>
              <w:rPr>
                <w:rFonts w:hint="eastAsia"/>
                <w:szCs w:val="21"/>
              </w:rPr>
            </w:pPr>
            <w:r>
              <w:rPr>
                <w:rFonts w:hint="eastAsia"/>
                <w:szCs w:val="21"/>
              </w:rPr>
              <w:t>6</w:t>
            </w:r>
          </w:p>
        </w:tc>
        <w:tc>
          <w:tcPr>
            <w:tcW w:w="654" w:type="dxa"/>
            <w:noWrap w:val="0"/>
            <w:vAlign w:val="center"/>
          </w:tcPr>
          <w:p>
            <w:pPr>
              <w:jc w:val="center"/>
              <w:rPr>
                <w:rFonts w:hint="eastAsia"/>
                <w:color w:val="auto"/>
                <w:szCs w:val="21"/>
              </w:rPr>
            </w:pPr>
            <w:r>
              <w:rPr>
                <w:rFonts w:hint="eastAsia"/>
                <w:color w:val="auto"/>
                <w:szCs w:val="21"/>
                <w:lang w:eastAsia="zh-CN"/>
              </w:rPr>
              <w:t>4</w:t>
            </w:r>
          </w:p>
        </w:tc>
        <w:tc>
          <w:tcPr>
            <w:tcW w:w="654" w:type="dxa"/>
            <w:noWrap w:val="0"/>
            <w:vAlign w:val="center"/>
          </w:tcPr>
          <w:p>
            <w:pPr>
              <w:jc w:val="center"/>
              <w:rPr>
                <w:rFonts w:hint="eastAsia"/>
                <w:color w:val="auto"/>
                <w:szCs w:val="21"/>
              </w:rPr>
            </w:pPr>
            <w:r>
              <w:rPr>
                <w:rFonts w:hint="eastAsia"/>
                <w:color w:val="auto"/>
                <w:szCs w:val="21"/>
                <w:lang w:eastAsia="zh-CN"/>
              </w:rPr>
              <w:t>2</w:t>
            </w:r>
          </w:p>
        </w:tc>
        <w:tc>
          <w:tcPr>
            <w:tcW w:w="656" w:type="dxa"/>
            <w:noWrap w:val="0"/>
            <w:vAlign w:val="center"/>
          </w:tcPr>
          <w:p>
            <w:pPr>
              <w:jc w:val="center"/>
              <w:rPr>
                <w:rFonts w:hint="eastAsia"/>
                <w:color w:val="auto"/>
                <w:szCs w:val="21"/>
              </w:rPr>
            </w:pPr>
            <w:r>
              <w:rPr>
                <w:rFonts w:hint="eastAsia"/>
                <w:color w:val="auto"/>
                <w:szCs w:val="21"/>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noWrap w:val="0"/>
            <w:vAlign w:val="center"/>
          </w:tcPr>
          <w:p>
            <w:pPr>
              <w:spacing w:line="360" w:lineRule="auto"/>
              <w:jc w:val="center"/>
              <w:rPr>
                <w:szCs w:val="21"/>
              </w:rPr>
            </w:pPr>
            <w:r>
              <w:rPr>
                <w:rFonts w:hAnsi="宋体"/>
                <w:szCs w:val="21"/>
              </w:rPr>
              <w:t>第</w:t>
            </w:r>
            <w:r>
              <w:rPr>
                <w:szCs w:val="21"/>
              </w:rPr>
              <w:t>2</w:t>
            </w:r>
            <w:r>
              <w:rPr>
                <w:rFonts w:hAnsi="宋体"/>
                <w:szCs w:val="21"/>
              </w:rPr>
              <w:t>获奖人</w:t>
            </w:r>
          </w:p>
        </w:tc>
        <w:tc>
          <w:tcPr>
            <w:tcW w:w="654" w:type="dxa"/>
            <w:noWrap w:val="0"/>
            <w:vAlign w:val="center"/>
          </w:tcPr>
          <w:p>
            <w:pPr>
              <w:jc w:val="center"/>
              <w:rPr>
                <w:szCs w:val="21"/>
              </w:rPr>
            </w:pPr>
            <w:r>
              <w:rPr>
                <w:rFonts w:hint="eastAsia"/>
                <w:szCs w:val="21"/>
              </w:rPr>
              <w:t>20</w:t>
            </w:r>
          </w:p>
        </w:tc>
        <w:tc>
          <w:tcPr>
            <w:tcW w:w="654" w:type="dxa"/>
            <w:noWrap w:val="0"/>
            <w:vAlign w:val="center"/>
          </w:tcPr>
          <w:p>
            <w:pPr>
              <w:jc w:val="center"/>
              <w:rPr>
                <w:szCs w:val="21"/>
              </w:rPr>
            </w:pPr>
            <w:r>
              <w:rPr>
                <w:rFonts w:hint="eastAsia"/>
                <w:szCs w:val="21"/>
              </w:rPr>
              <w:t>15</w:t>
            </w:r>
          </w:p>
        </w:tc>
        <w:tc>
          <w:tcPr>
            <w:tcW w:w="654" w:type="dxa"/>
            <w:noWrap w:val="0"/>
            <w:vAlign w:val="center"/>
          </w:tcPr>
          <w:p>
            <w:pPr>
              <w:jc w:val="center"/>
              <w:rPr>
                <w:szCs w:val="21"/>
              </w:rPr>
            </w:pPr>
            <w:r>
              <w:rPr>
                <w:rFonts w:hint="eastAsia"/>
                <w:szCs w:val="21"/>
              </w:rPr>
              <w:t>10</w:t>
            </w:r>
          </w:p>
        </w:tc>
        <w:tc>
          <w:tcPr>
            <w:tcW w:w="654" w:type="dxa"/>
            <w:noWrap w:val="0"/>
            <w:vAlign w:val="center"/>
          </w:tcPr>
          <w:p>
            <w:pPr>
              <w:jc w:val="center"/>
              <w:rPr>
                <w:rFonts w:hint="eastAsia"/>
                <w:szCs w:val="21"/>
              </w:rPr>
            </w:pPr>
            <w:r>
              <w:rPr>
                <w:rFonts w:hint="eastAsia"/>
                <w:szCs w:val="21"/>
              </w:rPr>
              <w:t>8</w:t>
            </w:r>
          </w:p>
        </w:tc>
        <w:tc>
          <w:tcPr>
            <w:tcW w:w="654" w:type="dxa"/>
            <w:noWrap w:val="0"/>
            <w:vAlign w:val="center"/>
          </w:tcPr>
          <w:p>
            <w:pPr>
              <w:jc w:val="center"/>
              <w:rPr>
                <w:szCs w:val="21"/>
              </w:rPr>
            </w:pPr>
            <w:r>
              <w:rPr>
                <w:rFonts w:hint="eastAsia"/>
                <w:szCs w:val="21"/>
              </w:rPr>
              <w:t>6</w:t>
            </w:r>
          </w:p>
        </w:tc>
        <w:tc>
          <w:tcPr>
            <w:tcW w:w="654" w:type="dxa"/>
            <w:noWrap w:val="0"/>
            <w:vAlign w:val="center"/>
          </w:tcPr>
          <w:p>
            <w:pPr>
              <w:jc w:val="center"/>
              <w:rPr>
                <w:szCs w:val="21"/>
              </w:rPr>
            </w:pPr>
            <w:r>
              <w:rPr>
                <w:rFonts w:hint="eastAsia"/>
                <w:szCs w:val="21"/>
              </w:rPr>
              <w:t>4</w:t>
            </w:r>
          </w:p>
        </w:tc>
        <w:tc>
          <w:tcPr>
            <w:tcW w:w="654" w:type="dxa"/>
            <w:noWrap w:val="0"/>
            <w:vAlign w:val="center"/>
          </w:tcPr>
          <w:p>
            <w:pPr>
              <w:jc w:val="center"/>
              <w:rPr>
                <w:rFonts w:hint="eastAsia"/>
                <w:color w:val="auto"/>
                <w:szCs w:val="21"/>
              </w:rPr>
            </w:pPr>
            <w:r>
              <w:rPr>
                <w:rFonts w:hint="eastAsia"/>
                <w:color w:val="auto"/>
                <w:szCs w:val="21"/>
                <w:lang w:eastAsia="zh-CN"/>
              </w:rPr>
              <w:t>2</w:t>
            </w:r>
          </w:p>
        </w:tc>
        <w:tc>
          <w:tcPr>
            <w:tcW w:w="654" w:type="dxa"/>
            <w:noWrap w:val="0"/>
            <w:vAlign w:val="center"/>
          </w:tcPr>
          <w:p>
            <w:pPr>
              <w:jc w:val="center"/>
              <w:rPr>
                <w:rFonts w:hint="eastAsia"/>
                <w:color w:val="auto"/>
                <w:szCs w:val="21"/>
              </w:rPr>
            </w:pPr>
            <w:r>
              <w:rPr>
                <w:rFonts w:hint="eastAsia"/>
                <w:color w:val="auto"/>
                <w:szCs w:val="21"/>
                <w:lang w:eastAsia="zh-CN"/>
              </w:rPr>
              <w:t>1</w:t>
            </w:r>
          </w:p>
        </w:tc>
        <w:tc>
          <w:tcPr>
            <w:tcW w:w="656" w:type="dxa"/>
            <w:noWrap w:val="0"/>
            <w:vAlign w:val="center"/>
          </w:tcPr>
          <w:p>
            <w:pPr>
              <w:jc w:val="center"/>
              <w:rPr>
                <w:rFonts w:hint="default"/>
                <w:color w:val="auto"/>
                <w:szCs w:val="21"/>
              </w:rPr>
            </w:pPr>
            <w:r>
              <w:rPr>
                <w:rFonts w:hint="eastAsia"/>
                <w:color w:val="auto"/>
                <w:szCs w:val="21"/>
                <w:lang w:eastAsia="zh-CN"/>
              </w:rPr>
              <w:t>0</w:t>
            </w:r>
            <w:r>
              <w:rPr>
                <w:rFonts w:hint="eastAsia"/>
                <w:color w:val="auto"/>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noWrap w:val="0"/>
            <w:vAlign w:val="center"/>
          </w:tcPr>
          <w:p>
            <w:pPr>
              <w:spacing w:line="360" w:lineRule="auto"/>
              <w:jc w:val="center"/>
              <w:rPr>
                <w:szCs w:val="21"/>
              </w:rPr>
            </w:pPr>
            <w:r>
              <w:rPr>
                <w:rFonts w:hAnsi="宋体"/>
                <w:szCs w:val="21"/>
              </w:rPr>
              <w:t>第</w:t>
            </w:r>
            <w:r>
              <w:rPr>
                <w:szCs w:val="21"/>
              </w:rPr>
              <w:t>3</w:t>
            </w:r>
            <w:r>
              <w:rPr>
                <w:rFonts w:hAnsi="宋体"/>
                <w:szCs w:val="21"/>
              </w:rPr>
              <w:t>获奖人</w:t>
            </w:r>
          </w:p>
        </w:tc>
        <w:tc>
          <w:tcPr>
            <w:tcW w:w="654" w:type="dxa"/>
            <w:noWrap w:val="0"/>
            <w:vAlign w:val="center"/>
          </w:tcPr>
          <w:p>
            <w:pPr>
              <w:jc w:val="center"/>
              <w:rPr>
                <w:szCs w:val="21"/>
              </w:rPr>
            </w:pPr>
            <w:r>
              <w:rPr>
                <w:rFonts w:hint="eastAsia"/>
                <w:szCs w:val="21"/>
              </w:rPr>
              <w:t>15</w:t>
            </w:r>
          </w:p>
        </w:tc>
        <w:tc>
          <w:tcPr>
            <w:tcW w:w="654" w:type="dxa"/>
            <w:noWrap w:val="0"/>
            <w:vAlign w:val="center"/>
          </w:tcPr>
          <w:p>
            <w:pPr>
              <w:jc w:val="center"/>
              <w:rPr>
                <w:szCs w:val="21"/>
              </w:rPr>
            </w:pPr>
            <w:r>
              <w:rPr>
                <w:rFonts w:hint="eastAsia"/>
                <w:szCs w:val="21"/>
              </w:rPr>
              <w:t>10</w:t>
            </w:r>
          </w:p>
        </w:tc>
        <w:tc>
          <w:tcPr>
            <w:tcW w:w="654" w:type="dxa"/>
            <w:noWrap w:val="0"/>
            <w:vAlign w:val="center"/>
          </w:tcPr>
          <w:p>
            <w:pPr>
              <w:jc w:val="center"/>
              <w:rPr>
                <w:szCs w:val="21"/>
              </w:rPr>
            </w:pPr>
            <w:r>
              <w:rPr>
                <w:rFonts w:hint="eastAsia"/>
                <w:szCs w:val="21"/>
              </w:rPr>
              <w:t>5</w:t>
            </w:r>
          </w:p>
        </w:tc>
        <w:tc>
          <w:tcPr>
            <w:tcW w:w="654" w:type="dxa"/>
            <w:noWrap w:val="0"/>
            <w:vAlign w:val="center"/>
          </w:tcPr>
          <w:p>
            <w:pPr>
              <w:jc w:val="center"/>
              <w:rPr>
                <w:rFonts w:hint="eastAsia"/>
                <w:szCs w:val="21"/>
              </w:rPr>
            </w:pPr>
            <w:r>
              <w:rPr>
                <w:rFonts w:hint="eastAsia"/>
                <w:szCs w:val="21"/>
              </w:rPr>
              <w:t>6</w:t>
            </w:r>
          </w:p>
        </w:tc>
        <w:tc>
          <w:tcPr>
            <w:tcW w:w="654" w:type="dxa"/>
            <w:noWrap w:val="0"/>
            <w:vAlign w:val="center"/>
          </w:tcPr>
          <w:p>
            <w:pPr>
              <w:jc w:val="center"/>
              <w:rPr>
                <w:szCs w:val="21"/>
              </w:rPr>
            </w:pPr>
            <w:r>
              <w:rPr>
                <w:rFonts w:hint="eastAsia"/>
                <w:szCs w:val="21"/>
              </w:rPr>
              <w:t>4</w:t>
            </w:r>
          </w:p>
        </w:tc>
        <w:tc>
          <w:tcPr>
            <w:tcW w:w="654" w:type="dxa"/>
            <w:noWrap w:val="0"/>
            <w:vAlign w:val="center"/>
          </w:tcPr>
          <w:p>
            <w:pPr>
              <w:jc w:val="center"/>
              <w:rPr>
                <w:rFonts w:hint="eastAsia"/>
                <w:szCs w:val="21"/>
              </w:rPr>
            </w:pPr>
            <w:r>
              <w:rPr>
                <w:rFonts w:hint="eastAsia"/>
                <w:szCs w:val="21"/>
              </w:rPr>
              <w:t>2</w:t>
            </w:r>
          </w:p>
        </w:tc>
        <w:tc>
          <w:tcPr>
            <w:tcW w:w="654" w:type="dxa"/>
            <w:noWrap w:val="0"/>
            <w:vAlign w:val="center"/>
          </w:tcPr>
          <w:p>
            <w:pPr>
              <w:jc w:val="center"/>
              <w:rPr>
                <w:rFonts w:hint="eastAsia"/>
                <w:color w:val="auto"/>
                <w:szCs w:val="21"/>
              </w:rPr>
            </w:pPr>
            <w:r>
              <w:rPr>
                <w:rFonts w:hint="eastAsia"/>
                <w:color w:val="auto"/>
                <w:szCs w:val="21"/>
                <w:lang w:eastAsia="zh-CN"/>
              </w:rPr>
              <w:t>1</w:t>
            </w:r>
          </w:p>
        </w:tc>
        <w:tc>
          <w:tcPr>
            <w:tcW w:w="654" w:type="dxa"/>
            <w:noWrap w:val="0"/>
            <w:vAlign w:val="center"/>
          </w:tcPr>
          <w:p>
            <w:pPr>
              <w:jc w:val="center"/>
              <w:rPr>
                <w:rFonts w:hint="default"/>
                <w:color w:val="auto"/>
                <w:szCs w:val="21"/>
              </w:rPr>
            </w:pPr>
            <w:r>
              <w:rPr>
                <w:rFonts w:hint="eastAsia"/>
                <w:color w:val="auto"/>
                <w:szCs w:val="21"/>
                <w:lang w:eastAsia="zh-CN"/>
              </w:rPr>
              <w:t>0</w:t>
            </w:r>
            <w:r>
              <w:rPr>
                <w:rFonts w:hint="eastAsia"/>
                <w:color w:val="auto"/>
                <w:szCs w:val="21"/>
                <w:lang w:val="en-US" w:eastAsia="zh-CN"/>
              </w:rPr>
              <w:t>.5</w:t>
            </w:r>
          </w:p>
        </w:tc>
        <w:tc>
          <w:tcPr>
            <w:tcW w:w="656" w:type="dxa"/>
            <w:noWrap w:val="0"/>
            <w:vAlign w:val="center"/>
          </w:tcPr>
          <w:p>
            <w:pPr>
              <w:jc w:val="center"/>
              <w:rPr>
                <w:color w:val="auto"/>
                <w:szCs w:val="21"/>
              </w:rPr>
            </w:pPr>
            <w:r>
              <w:rPr>
                <w:color w:val="auto"/>
                <w:szCs w:val="21"/>
              </w:rPr>
              <w:t>0</w:t>
            </w:r>
          </w:p>
        </w:tc>
      </w:tr>
    </w:tbl>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注：A指特等奖、一等奖、金奖，B指二等奖、银奖、单项一等奖，C指三等奖、铜奖、单项二等奖。</w:t>
      </w:r>
    </w:p>
    <w:p>
      <w:pPr>
        <w:adjustRightInd w:val="0"/>
        <w:spacing w:before="156" w:beforeLines="50" w:after="156" w:afterLines="50"/>
        <w:jc w:val="center"/>
        <w:rPr>
          <w:rFonts w:ascii="黑体" w:hAnsi="黑体" w:eastAsia="黑体" w:cs="黑体"/>
          <w:b/>
          <w:sz w:val="32"/>
          <w:szCs w:val="32"/>
        </w:rPr>
      </w:pPr>
      <w:r>
        <w:rPr>
          <w:rFonts w:hint="eastAsia" w:ascii="黑体" w:hAnsi="黑体" w:eastAsia="黑体" w:cs="黑体"/>
          <w:b/>
          <w:sz w:val="32"/>
          <w:szCs w:val="32"/>
        </w:rPr>
        <w:t>第六章  组织实施</w:t>
      </w:r>
    </w:p>
    <w:p>
      <w:pPr>
        <w:adjustRightInd w:val="0"/>
        <w:ind w:firstLine="643" w:firstLineChars="200"/>
        <w:jc w:val="left"/>
        <w:rPr>
          <w:rFonts w:ascii="仿宋_GB2312" w:hAnsi="宋体" w:eastAsia="仿宋_GB2312"/>
          <w:sz w:val="32"/>
          <w:szCs w:val="32"/>
        </w:rPr>
      </w:pPr>
      <w:r>
        <w:rPr>
          <w:rFonts w:hint="eastAsia" w:ascii="仿宋_GB2312" w:hAnsi="宋体" w:eastAsia="仿宋_GB2312" w:cs="仿宋_GB2312"/>
          <w:b/>
          <w:bCs/>
          <w:sz w:val="32"/>
          <w:szCs w:val="32"/>
        </w:rPr>
        <w:t xml:space="preserve">第十四条  </w:t>
      </w:r>
      <w:r>
        <w:rPr>
          <w:rFonts w:hint="eastAsia" w:ascii="仿宋_GB2312" w:hAnsi="宋体" w:eastAsia="仿宋_GB2312" w:cs="仿宋_GB2312"/>
          <w:sz w:val="32"/>
          <w:szCs w:val="32"/>
        </w:rPr>
        <w:t>工作程序</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1.</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学生申请：学院根据学校安排公布符合第七条3、4项条件学生名单，入选学生应至少有一位当年具有招生资格的导师推荐且在规定时间内向学院研究生办提出申请，</w:t>
      </w:r>
      <w:r>
        <w:rPr>
          <w:rFonts w:hint="eastAsia" w:ascii="仿宋_GB2312" w:hAnsi="宋体" w:eastAsia="仿宋_GB2312" w:cs="仿宋_GB2312"/>
          <w:bCs/>
          <w:sz w:val="32"/>
          <w:szCs w:val="32"/>
        </w:rPr>
        <w:t>选择攻读西北农林科技大学研究生的推免生同时填写推荐免试攻读研究生承诺书</w:t>
      </w:r>
      <w:r>
        <w:rPr>
          <w:rFonts w:hint="eastAsia" w:ascii="仿宋_GB2312" w:hAnsi="宋体" w:eastAsia="仿宋_GB2312" w:cs="仿宋_GB2312"/>
          <w:sz w:val="32"/>
          <w:szCs w:val="32"/>
        </w:rPr>
        <w:t>。</w:t>
      </w:r>
    </w:p>
    <w:p>
      <w:pPr>
        <w:adjustRightInd w:val="0"/>
        <w:ind w:firstLine="640" w:firstLineChars="200"/>
        <w:jc w:val="left"/>
        <w:rPr>
          <w:rFonts w:ascii="仿宋_GB2312" w:hAnsi="宋体" w:eastAsia="仿宋_GB2312"/>
          <w:sz w:val="32"/>
          <w:szCs w:val="32"/>
        </w:rPr>
      </w:pPr>
      <w:r>
        <w:rPr>
          <w:rFonts w:ascii="仿宋_GB2312" w:hAnsi="宋体" w:eastAsia="仿宋_GB2312"/>
          <w:sz w:val="32"/>
          <w:szCs w:val="32"/>
        </w:rPr>
        <w:t xml:space="preserve">2. </w:t>
      </w:r>
      <w:r>
        <w:rPr>
          <w:rFonts w:hint="eastAsia" w:ascii="仿宋_GB2312" w:hAnsi="宋体" w:eastAsia="仿宋_GB2312"/>
          <w:sz w:val="32"/>
          <w:szCs w:val="32"/>
        </w:rPr>
        <w:t>心理测试：学工办负责联系校心理咨询中心确定具体时间安排。</w:t>
      </w:r>
    </w:p>
    <w:p>
      <w:pPr>
        <w:adjustRightInd w:val="0"/>
        <w:ind w:firstLine="640" w:firstLineChars="200"/>
        <w:jc w:val="left"/>
        <w:rPr>
          <w:rFonts w:ascii="仿宋_GB2312" w:hAnsi="宋体" w:eastAsia="仿宋_GB2312"/>
          <w:sz w:val="32"/>
          <w:szCs w:val="32"/>
        </w:rPr>
      </w:pPr>
      <w:r>
        <w:rPr>
          <w:rFonts w:ascii="仿宋_GB2312" w:hAnsi="宋体" w:eastAsia="仿宋_GB2312" w:cs="仿宋_GB2312"/>
          <w:sz w:val="32"/>
          <w:szCs w:val="32"/>
        </w:rPr>
        <w:t>3</w:t>
      </w:r>
      <w:r>
        <w:rPr>
          <w:rFonts w:hint="eastAsia" w:ascii="仿宋_GB2312" w:hAnsi="宋体" w:eastAsia="仿宋_GB2312" w:cs="仿宋_GB2312"/>
          <w:sz w:val="32"/>
          <w:szCs w:val="32"/>
        </w:rPr>
        <w:t>.</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综合考核：学院对申请学生进行综合考核，由学工办对申请学生进行思想品德考核，研究生办、教学办组织进行科研潜质考核（科研能力综合评价过程全程录音录像）；研究生办公室依据各项考核结果进行综合考核排名，结果报学院推免生遴选工作领导小组审核，学院推免生遴选工作领导小组依据综合考核成绩排名和推荐指标，确定各专项和专业推免生名单，在学</w:t>
      </w:r>
      <w:r>
        <w:rPr>
          <w:rFonts w:ascii="仿宋_GB2312" w:hAnsi="宋体" w:eastAsia="仿宋_GB2312" w:cs="仿宋_GB2312"/>
          <w:sz w:val="32"/>
          <w:szCs w:val="32"/>
        </w:rPr>
        <w:t>院公示</w:t>
      </w:r>
      <w:r>
        <w:rPr>
          <w:rFonts w:hint="eastAsia" w:ascii="仿宋_GB2312" w:hAnsi="宋体" w:eastAsia="仿宋_GB2312" w:cs="仿宋_GB2312"/>
          <w:sz w:val="32"/>
          <w:szCs w:val="32"/>
        </w:rPr>
        <w:t>3</w:t>
      </w:r>
      <w:r>
        <w:rPr>
          <w:rFonts w:ascii="仿宋_GB2312" w:hAnsi="宋体" w:eastAsia="仿宋_GB2312" w:cs="仿宋_GB2312"/>
          <w:sz w:val="32"/>
          <w:szCs w:val="32"/>
        </w:rPr>
        <w:t>个</w:t>
      </w:r>
      <w:r>
        <w:rPr>
          <w:rFonts w:hint="eastAsia" w:ascii="仿宋_GB2312" w:hAnsi="宋体" w:eastAsia="仿宋_GB2312" w:cs="仿宋_GB2312"/>
          <w:sz w:val="32"/>
          <w:szCs w:val="32"/>
        </w:rPr>
        <w:t>工作日。</w:t>
      </w:r>
    </w:p>
    <w:p>
      <w:pPr>
        <w:adjustRightInd w:val="0"/>
        <w:ind w:firstLine="640" w:firstLineChars="200"/>
        <w:jc w:val="left"/>
        <w:rPr>
          <w:rFonts w:ascii="仿宋_GB2312" w:hAnsi="宋体" w:eastAsia="仿宋_GB2312" w:cs="仿宋_GB2312"/>
          <w:spacing w:val="8"/>
          <w:sz w:val="32"/>
          <w:szCs w:val="32"/>
        </w:rPr>
      </w:pPr>
      <w:r>
        <w:rPr>
          <w:rFonts w:ascii="仿宋_GB2312" w:hAnsi="宋体" w:eastAsia="仿宋_GB2312" w:cs="仿宋_GB2312"/>
          <w:sz w:val="32"/>
          <w:szCs w:val="32"/>
        </w:rPr>
        <w:t>4</w:t>
      </w:r>
      <w:r>
        <w:rPr>
          <w:rFonts w:hint="eastAsia" w:ascii="仿宋_GB2312" w:hAnsi="宋体" w:eastAsia="仿宋_GB2312" w:cs="仿宋_GB2312"/>
          <w:sz w:val="32"/>
          <w:szCs w:val="32"/>
        </w:rPr>
        <w:t>.</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结果上报：学院将公示</w:t>
      </w:r>
      <w:r>
        <w:rPr>
          <w:rFonts w:ascii="仿宋_GB2312" w:hAnsi="宋体" w:eastAsia="仿宋_GB2312" w:cs="仿宋_GB2312"/>
          <w:sz w:val="32"/>
          <w:szCs w:val="32"/>
        </w:rPr>
        <w:t>无异议后</w:t>
      </w:r>
      <w:r>
        <w:rPr>
          <w:rFonts w:hint="eastAsia" w:ascii="仿宋_GB2312" w:hAnsi="宋体" w:eastAsia="仿宋_GB2312" w:cs="仿宋_GB2312"/>
          <w:sz w:val="32"/>
          <w:szCs w:val="32"/>
        </w:rPr>
        <w:t>的推免生名单报研究生院</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研究生院对推免生名单进行汇总，并交教务处、学生处复查学生遴选资格、学籍信息，复查结果无误、无异议后，研究生院将推免生名单提交学校推免生遴选工作领导小组审核，审核通过后公示，公示时间不少于</w:t>
      </w:r>
      <w:r>
        <w:rPr>
          <w:rFonts w:ascii="仿宋_GB2312" w:hAnsi="宋体" w:eastAsia="仿宋_GB2312" w:cs="仿宋_GB2312"/>
          <w:sz w:val="32"/>
          <w:szCs w:val="32"/>
        </w:rPr>
        <w:t>10</w:t>
      </w:r>
      <w:r>
        <w:rPr>
          <w:rFonts w:hint="eastAsia" w:ascii="仿宋_GB2312" w:hAnsi="宋体" w:eastAsia="仿宋_GB2312" w:cs="仿宋_GB2312"/>
          <w:sz w:val="32"/>
          <w:szCs w:val="32"/>
        </w:rPr>
        <w:t>个工作日；</w:t>
      </w:r>
      <w:r>
        <w:rPr>
          <w:rFonts w:hint="eastAsia" w:ascii="仿宋_GB2312" w:hAnsi="宋体" w:eastAsia="仿宋_GB2312" w:cs="仿宋_GB2312"/>
          <w:spacing w:val="-6"/>
          <w:sz w:val="32"/>
          <w:szCs w:val="32"/>
        </w:rPr>
        <w:t>公示无异议的推免生名单，由研究生院呈报上级主管部门</w:t>
      </w:r>
      <w:r>
        <w:rPr>
          <w:rFonts w:hint="eastAsia" w:ascii="仿宋_GB2312" w:hAnsi="宋体" w:eastAsia="仿宋_GB2312" w:cs="仿宋_GB2312"/>
          <w:spacing w:val="8"/>
          <w:sz w:val="32"/>
          <w:szCs w:val="32"/>
        </w:rPr>
        <w:t>。</w:t>
      </w:r>
    </w:p>
    <w:p>
      <w:pPr>
        <w:ind w:firstLine="643" w:firstLineChars="200"/>
        <w:rPr>
          <w:rFonts w:ascii="仿宋_GB2312" w:hAnsi="宋体" w:eastAsia="仿宋_GB2312" w:cs="仿宋_GB2312"/>
          <w:b/>
          <w:sz w:val="32"/>
          <w:szCs w:val="32"/>
        </w:rPr>
      </w:pPr>
      <w:r>
        <w:rPr>
          <w:rFonts w:hint="eastAsia" w:ascii="仿宋_GB2312" w:hAnsi="宋体" w:eastAsia="仿宋_GB2312" w:cs="仿宋_GB2312"/>
          <w:b/>
          <w:sz w:val="32"/>
          <w:szCs w:val="32"/>
        </w:rPr>
        <w:t xml:space="preserve">第十五条  </w:t>
      </w:r>
      <w:r>
        <w:rPr>
          <w:rFonts w:hint="eastAsia" w:ascii="仿宋_GB2312" w:hAnsi="宋体" w:eastAsia="仿宋_GB2312" w:cs="仿宋_GB2312"/>
          <w:sz w:val="32"/>
          <w:szCs w:val="32"/>
        </w:rPr>
        <w:t>申请推免的学生，如对结果有异议，在公示期内，可根据实施细则规定的流程向学院或学校推免生遴选工作领导小组提出复议申请，具体流程如下：</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在公示期内</w:t>
      </w:r>
      <w:r>
        <w:rPr>
          <w:rFonts w:hint="eastAsia" w:ascii="仿宋_GB2312" w:eastAsia="仿宋_GB2312"/>
          <w:sz w:val="32"/>
          <w:szCs w:val="32"/>
        </w:rPr>
        <w:t>申请复议的学生应填写《推荐免试攻读研究生复议申请表》，提</w:t>
      </w:r>
      <w:r>
        <w:rPr>
          <w:rFonts w:hint="eastAsia" w:ascii="仿宋_GB2312" w:hAnsi="宋体" w:eastAsia="仿宋_GB2312" w:cs="仿宋_GB2312"/>
          <w:sz w:val="32"/>
          <w:szCs w:val="32"/>
        </w:rPr>
        <w:t>交学院研究生办或学校推免生遴选工作领导小组提出复议申请。</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学院推免生遴选工作领导小组按照实施细则审核申请复议学生所反映情况，情况属实的进入复议程序。</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 xml:space="preserve">3. </w:t>
      </w:r>
      <w:r>
        <w:rPr>
          <w:rFonts w:hint="eastAsia" w:ascii="仿宋_GB2312" w:hAnsi="宋体" w:eastAsia="仿宋_GB2312" w:cs="仿宋_GB2312"/>
          <w:sz w:val="32"/>
          <w:szCs w:val="32"/>
        </w:rPr>
        <w:t>学院推免生遴选工作领导小组组织专家组成复议组，全面复查相关工作环节，得出复议结论，告知相关部门和申请复议的学生，按照新的结论报送名单。</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bCs/>
          <w:sz w:val="32"/>
          <w:szCs w:val="32"/>
        </w:rPr>
        <w:t>4.</w:t>
      </w:r>
      <w:r>
        <w:rPr>
          <w:rFonts w:ascii="仿宋_GB2312" w:hAnsi="宋体" w:eastAsia="仿宋_GB2312" w:cs="仿宋_GB2312"/>
          <w:bCs/>
          <w:sz w:val="32"/>
          <w:szCs w:val="32"/>
        </w:rPr>
        <w:t xml:space="preserve"> </w:t>
      </w:r>
      <w:r>
        <w:rPr>
          <w:rFonts w:hint="eastAsia" w:ascii="仿宋_GB2312" w:hAnsi="宋体" w:eastAsia="仿宋_GB2312" w:cs="仿宋_GB2312"/>
          <w:bCs/>
          <w:sz w:val="32"/>
          <w:szCs w:val="32"/>
        </w:rPr>
        <w:t>由学校推免生遴选工作领导小组处理的复议申请，学院</w:t>
      </w:r>
      <w:r>
        <w:rPr>
          <w:rFonts w:hint="eastAsia" w:ascii="仿宋_GB2312" w:hAnsi="宋体" w:eastAsia="仿宋_GB2312" w:cs="仿宋_GB2312"/>
          <w:sz w:val="32"/>
          <w:szCs w:val="32"/>
        </w:rPr>
        <w:t>推免生遴选工作小组根据学校复议结论按相关程序办理并将结果报送研究生院审核、备案。</w:t>
      </w:r>
    </w:p>
    <w:p>
      <w:pPr>
        <w:adjustRightInd w:val="0"/>
        <w:spacing w:before="156" w:beforeLines="50" w:after="156" w:afterLines="50"/>
        <w:jc w:val="center"/>
        <w:rPr>
          <w:rFonts w:ascii="黑体" w:hAnsi="黑体" w:eastAsia="黑体" w:cs="黑体"/>
          <w:b/>
          <w:sz w:val="32"/>
          <w:szCs w:val="32"/>
        </w:rPr>
      </w:pPr>
      <w:r>
        <w:rPr>
          <w:rFonts w:hint="eastAsia" w:ascii="黑体" w:hAnsi="黑体" w:eastAsia="黑体" w:cs="黑体"/>
          <w:b/>
          <w:sz w:val="32"/>
          <w:szCs w:val="32"/>
        </w:rPr>
        <w:t>第七章  其他</w:t>
      </w:r>
    </w:p>
    <w:p>
      <w:pPr>
        <w:adjustRightInd w:val="0"/>
        <w:ind w:firstLine="643" w:firstLineChars="200"/>
        <w:jc w:val="left"/>
        <w:rPr>
          <w:rFonts w:ascii="仿宋_GB2312" w:hAnsi="宋体" w:eastAsia="仿宋_GB2312" w:cs="仿宋_GB2312"/>
          <w:b/>
          <w:bCs/>
          <w:sz w:val="32"/>
          <w:szCs w:val="32"/>
        </w:rPr>
      </w:pPr>
      <w:r>
        <w:rPr>
          <w:rFonts w:hint="eastAsia" w:ascii="仿宋_GB2312" w:eastAsia="仿宋_GB2312" w:cs="仿宋_GB2312"/>
          <w:b/>
          <w:bCs/>
          <w:sz w:val="32"/>
          <w:szCs w:val="32"/>
        </w:rPr>
        <w:t xml:space="preserve">第十六条  </w:t>
      </w:r>
      <w:r>
        <w:rPr>
          <w:rFonts w:hint="eastAsia" w:ascii="仿宋_GB2312" w:hAnsi="宋体" w:eastAsia="仿宋_GB2312" w:cs="仿宋_GB2312"/>
          <w:bCs/>
          <w:sz w:val="32"/>
          <w:szCs w:val="32"/>
        </w:rPr>
        <w:t>推免生填写的推荐免试攻读研究生承诺书，经学院主管研究生工作院长签字确认后交由研究生管理办公室保管。</w:t>
      </w:r>
    </w:p>
    <w:p>
      <w:pPr>
        <w:adjustRightInd w:val="0"/>
        <w:ind w:firstLine="643" w:firstLineChars="200"/>
        <w:jc w:val="left"/>
        <w:rPr>
          <w:rFonts w:ascii="仿宋_GB2312" w:hAnsi="宋体" w:eastAsia="仿宋_GB2312" w:cs="仿宋_GB2312"/>
          <w:sz w:val="32"/>
          <w:szCs w:val="32"/>
        </w:rPr>
      </w:pPr>
      <w:r>
        <w:rPr>
          <w:rFonts w:hint="eastAsia" w:ascii="仿宋_GB2312" w:eastAsia="仿宋_GB2312" w:cs="仿宋_GB2312"/>
          <w:b/>
          <w:bCs/>
          <w:sz w:val="32"/>
          <w:szCs w:val="32"/>
        </w:rPr>
        <w:t xml:space="preserve">第十七条  </w:t>
      </w:r>
      <w:r>
        <w:rPr>
          <w:rFonts w:hint="eastAsia" w:ascii="仿宋_GB2312" w:eastAsia="仿宋_GB2312" w:cs="仿宋_GB2312"/>
          <w:bCs/>
          <w:sz w:val="32"/>
          <w:szCs w:val="32"/>
        </w:rPr>
        <w:t>推免生出现下列情况之一，按有关规定办理，并取消其推免资格或入学资格</w:t>
      </w:r>
      <w:r>
        <w:rPr>
          <w:rFonts w:hint="eastAsia" w:ascii="仿宋_GB2312" w:hAnsi="宋体" w:eastAsia="仿宋_GB2312" w:cs="仿宋_GB2312"/>
          <w:sz w:val="32"/>
          <w:szCs w:val="32"/>
        </w:rPr>
        <w:t>。</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（一）弄虚作假、缺乏诚信者；</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（二）心理测试未通过，思想政治品德考核不合格或考核成绩低于6</w:t>
      </w:r>
      <w:r>
        <w:rPr>
          <w:rFonts w:ascii="仿宋_GB2312" w:hAnsi="宋体" w:eastAsia="仿宋_GB2312" w:cs="仿宋_GB2312"/>
          <w:sz w:val="32"/>
          <w:szCs w:val="32"/>
        </w:rPr>
        <w:t>0</w:t>
      </w:r>
      <w:r>
        <w:rPr>
          <w:rFonts w:hint="eastAsia" w:ascii="仿宋_GB2312" w:hAnsi="宋体" w:eastAsia="仿宋_GB2312" w:cs="仿宋_GB2312"/>
          <w:sz w:val="32"/>
          <w:szCs w:val="32"/>
        </w:rPr>
        <w:t>分者；</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（三）受学校纪律处分，在处分期内者；</w:t>
      </w:r>
    </w:p>
    <w:p>
      <w:pPr>
        <w:adjustRightInd w:val="0"/>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（四）规定学习年限内不能按期毕业取得学士学位者。</w:t>
      </w:r>
    </w:p>
    <w:p>
      <w:pPr>
        <w:adjustRightInd w:val="0"/>
        <w:spacing w:before="156" w:beforeLines="50" w:after="156" w:afterLines="50"/>
        <w:jc w:val="center"/>
        <w:rPr>
          <w:rFonts w:ascii="黑体" w:hAnsi="黑体" w:eastAsia="黑体" w:cs="黑体"/>
          <w:b/>
          <w:sz w:val="32"/>
          <w:szCs w:val="32"/>
        </w:rPr>
      </w:pPr>
      <w:r>
        <w:rPr>
          <w:rFonts w:hint="eastAsia" w:ascii="黑体" w:hAnsi="黑体" w:eastAsia="黑体" w:cs="黑体"/>
          <w:b/>
          <w:sz w:val="32"/>
          <w:szCs w:val="32"/>
        </w:rPr>
        <w:t>第八章  附则</w:t>
      </w:r>
    </w:p>
    <w:p>
      <w:pPr>
        <w:ind w:firstLine="627" w:firstLineChars="200"/>
        <w:rPr>
          <w:rFonts w:hint="eastAsia" w:ascii="仿宋_GB2312" w:hAnsi="宋体" w:eastAsia="仿宋_GB2312" w:cs="仿宋_GB2312"/>
          <w:color w:val="0000FF"/>
          <w:sz w:val="32"/>
          <w:szCs w:val="32"/>
        </w:rPr>
      </w:pPr>
      <w:r>
        <w:rPr>
          <w:rFonts w:hint="eastAsia" w:ascii="仿宋_GB2312" w:hAnsi="宋体" w:eastAsia="仿宋_GB2312" w:cs="仿宋_GB2312"/>
          <w:b/>
          <w:bCs/>
          <w:spacing w:val="-4"/>
          <w:sz w:val="32"/>
          <w:szCs w:val="32"/>
        </w:rPr>
        <w:t xml:space="preserve">第十八条  </w:t>
      </w:r>
      <w:r>
        <w:rPr>
          <w:rFonts w:hint="eastAsia" w:ascii="仿宋_GB2312" w:hAnsi="宋体" w:eastAsia="仿宋_GB2312" w:cs="仿宋_GB2312"/>
          <w:sz w:val="32"/>
          <w:szCs w:val="32"/>
        </w:rPr>
        <w:t>本细则经学院党政联席会议研究通过，自发布之日起施行。</w:t>
      </w:r>
    </w:p>
    <w:p>
      <w:pPr>
        <w:ind w:firstLine="643" w:firstLineChars="200"/>
        <w:rPr>
          <w:rFonts w:hint="eastAsia" w:ascii="仿宋_GB2312" w:hAnsi="宋体" w:eastAsia="仿宋_GB2312" w:cs="仿宋_GB2312"/>
          <w:sz w:val="32"/>
          <w:szCs w:val="32"/>
        </w:rPr>
      </w:pPr>
      <w:r>
        <w:rPr>
          <w:rFonts w:hint="eastAsia" w:ascii="仿宋_GB2312" w:hAnsi="宋体" w:eastAsia="仿宋_GB2312" w:cs="仿宋_GB2312"/>
          <w:b/>
          <w:bCs/>
          <w:sz w:val="32"/>
          <w:szCs w:val="32"/>
        </w:rPr>
        <w:t>第十九条</w:t>
      </w:r>
      <w:r>
        <w:rPr>
          <w:rFonts w:hint="eastAsia" w:ascii="仿宋_GB2312" w:hAnsi="宋体" w:eastAsia="仿宋_GB2312" w:cs="仿宋_GB2312"/>
          <w:sz w:val="32"/>
          <w:szCs w:val="32"/>
        </w:rPr>
        <w:t xml:space="preserve">  本细则由动物科技学院负责解释。</w:t>
      </w:r>
    </w:p>
    <w:p>
      <w:pPr>
        <w:ind w:firstLine="640" w:firstLineChars="200"/>
        <w:rPr>
          <w:rFonts w:hint="eastAsia" w:ascii="仿宋_GB2312" w:hAnsi="宋体" w:eastAsia="仿宋_GB2312" w:cs="仿宋_GB2312"/>
          <w:sz w:val="32"/>
          <w:szCs w:val="32"/>
        </w:rPr>
      </w:pPr>
    </w:p>
    <w:p>
      <w:pPr>
        <w:spacing w:line="560" w:lineRule="exact"/>
        <w:rPr>
          <w:rFonts w:hint="default" w:eastAsia="仿宋_GB2312"/>
          <w:sz w:val="28"/>
          <w:szCs w:val="28"/>
          <w:shd w:val="clear" w:color="auto" w:fill="FFFFFF"/>
          <w:lang w:val="en-US" w:eastAsia="zh-CN"/>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34925</wp:posOffset>
                </wp:positionV>
                <wp:extent cx="5621020" cy="6985"/>
                <wp:effectExtent l="0" t="0" r="36830" b="3111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621020" cy="6985"/>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0pt;margin-top:2.75pt;height:0.55pt;width:442.6pt;z-index:251659264;mso-width-relative:page;mso-height-relative:page;" filled="f" stroked="t" coordsize="21600,21600" o:gfxdata="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hNl6E1QAA&#10;AAQBAAAPAAAAAAAAAAEAIAAAACIAAABkcnMvZG93bnJldi54bWxQSwECFAAUAAAACACHTuJA4ioF&#10;b+gBAACuAwAADgAAAAAAAAABACAAAAAkAQAAZHJzL2Uyb0RvYy54bWxQSwUGAAAAAAYABgBZAQAA&#10;fgUAAAAA&#10;">
                <v:fill on="f" focussize="0,0"/>
                <v:stroke weight="1pt" color="#000000" joinstyle="round"/>
                <v:imagedata o:title=""/>
                <o:lock v:ext="edit" aspectratio="f"/>
              </v:line>
            </w:pict>
          </mc:Fallback>
        </mc:AlternateContent>
      </w:r>
      <w:r>
        <w:rPr>
          <w:rFonts w:eastAsia="仿宋_GB2312"/>
          <w:sz w:val="32"/>
          <w:szCs w:val="32"/>
        </w:rPr>
        <w:t xml:space="preserve"> </w:t>
      </w:r>
      <w:r>
        <w:rPr>
          <w:rFonts w:eastAsia="仿宋_GB2312"/>
          <w:sz w:val="28"/>
          <w:szCs w:val="28"/>
        </w:rPr>
        <w:t xml:space="preserve"> </w:t>
      </w:r>
      <w:r>
        <w:rPr>
          <w:rFonts w:eastAsia="仿宋_GB2312"/>
          <w:sz w:val="28"/>
          <w:szCs w:val="28"/>
          <w:shd w:val="clear" w:color="auto" w:fill="FFFFFF"/>
        </w:rPr>
        <w:t>抄送：</w:t>
      </w:r>
      <w:bookmarkStart w:id="1" w:name="cs"/>
      <w:bookmarkEnd w:id="1"/>
      <w:r>
        <w:rPr>
          <w:rFonts w:hint="eastAsia" w:eastAsia="仿宋_GB2312"/>
          <w:sz w:val="28"/>
          <w:szCs w:val="28"/>
          <w:shd w:val="clear" w:color="auto" w:fill="FFFFFF"/>
        </w:rPr>
        <w:t>院领导</w:t>
      </w:r>
      <w:r>
        <w:rPr>
          <w:rFonts w:hint="eastAsia" w:eastAsia="仿宋_GB2312"/>
          <w:sz w:val="28"/>
          <w:szCs w:val="28"/>
          <w:shd w:val="clear" w:color="auto" w:fill="FFFFFF"/>
          <w:lang w:eastAsia="zh-CN"/>
        </w:rPr>
        <w:t>，</w:t>
      </w:r>
      <w:r>
        <w:rPr>
          <w:rFonts w:hint="eastAsia" w:eastAsia="仿宋_GB2312"/>
          <w:sz w:val="28"/>
          <w:szCs w:val="28"/>
          <w:shd w:val="clear" w:color="auto" w:fill="FFFFFF"/>
          <w:lang w:val="en-US" w:eastAsia="zh-CN"/>
        </w:rPr>
        <w:t>院属各单位负责人。</w:t>
      </w:r>
      <w:bookmarkStart w:id="2" w:name="_GoBack"/>
      <w:bookmarkEnd w:id="2"/>
    </w:p>
    <w:p>
      <w:pPr>
        <w:spacing w:line="560" w:lineRule="exact"/>
        <w:rPr>
          <w:rFonts w:ascii="仿宋" w:hAnsi="仿宋" w:eastAsia="仿宋"/>
          <w:sz w:val="32"/>
          <w:szCs w:val="32"/>
        </w:rPr>
      </w:pPr>
      <w:r>
        <mc:AlternateContent>
          <mc:Choice Requires="wps">
            <w:drawing>
              <wp:anchor distT="0" distB="0" distL="114300" distR="114300" simplePos="0" relativeHeight="251661312" behindDoc="0" locked="0" layoutInCell="1" allowOverlap="1">
                <wp:simplePos x="0" y="0"/>
                <wp:positionH relativeFrom="column">
                  <wp:posOffset>-20955</wp:posOffset>
                </wp:positionH>
                <wp:positionV relativeFrom="paragraph">
                  <wp:posOffset>344170</wp:posOffset>
                </wp:positionV>
                <wp:extent cx="5652770" cy="7620"/>
                <wp:effectExtent l="0" t="0" r="24130" b="3048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652770" cy="762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1.65pt;margin-top:27.1pt;height:0.6pt;width:445.1pt;z-index:251661312;mso-width-relative:page;mso-height-relative:page;" filled="f" stroked="t" coordsize="21600,21600" o:gfxdata="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p1w&#10;g9kAAAAIAQAADwAAAAAAAAABACAAAAAiAAAAZHJzL2Rvd25yZXYueG1sUEsBAhQAFAAAAAgAh07i&#10;QDHVSjvoAQAArgMAAA4AAAAAAAAAAQAgAAAAKAEAAGRycy9lMm9Eb2MueG1sUEsFBgAAAAAGAAYA&#10;WQEAAIIFAAAAAA==&#10;">
                <v:fill on="f" focussize="0,0"/>
                <v:stroke weight="1pt"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22225</wp:posOffset>
                </wp:positionV>
                <wp:extent cx="5630545" cy="4445"/>
                <wp:effectExtent l="0" t="0" r="27305" b="33655"/>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flipV="1">
                          <a:off x="0" y="0"/>
                          <a:ext cx="5630545" cy="4445"/>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y;margin-left:-0.75pt;margin-top:1.75pt;height:0.35pt;width:443.35pt;z-index:251660288;mso-width-relative:page;mso-height-relative:page;" filled="f" stroked="t" coordsize="21600,21600" o:gfxdata="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w+&#10;pe7UAAAABgEAAA8AAAAAAAAAAQAgAAAAIgAAAGRycy9kb3ducmV2LnhtbFBLAQIUABQAAAAIAIdO&#10;4kBYaaAI7gEAALcDAAAOAAAAAAAAAAEAIAAAACMBAABkcnMvZTJvRG9jLnhtbFBLBQYAAAAABgAG&#10;AFkBAACDBQAAAAA=&#10;">
                <v:fill on="f" focussize="0,0"/>
                <v:stroke color="#000000" joinstyle="round"/>
                <v:imagedata o:title=""/>
                <o:lock v:ext="edit" aspectratio="f"/>
              </v:line>
            </w:pict>
          </mc:Fallback>
        </mc:AlternateContent>
      </w:r>
      <w:r>
        <w:rPr>
          <w:rFonts w:eastAsia="仿宋_GB2312"/>
          <w:sz w:val="28"/>
          <w:szCs w:val="28"/>
        </w:rPr>
        <w:t xml:space="preserve">  </w:t>
      </w:r>
      <w:r>
        <w:rPr>
          <w:rFonts w:eastAsia="仿宋_GB2312"/>
          <w:sz w:val="28"/>
          <w:szCs w:val="28"/>
          <w:shd w:val="clear" w:color="auto" w:fill="FFFFFF"/>
        </w:rPr>
        <w:t>动物科技学院党政综合办公室           2023年</w:t>
      </w:r>
      <w:r>
        <w:rPr>
          <w:rFonts w:hint="eastAsia" w:eastAsia="仿宋_GB2312"/>
          <w:sz w:val="28"/>
          <w:szCs w:val="28"/>
          <w:shd w:val="clear" w:color="auto" w:fill="FFFFFF"/>
        </w:rPr>
        <w:t>11</w:t>
      </w:r>
      <w:r>
        <w:rPr>
          <w:rFonts w:eastAsia="仿宋_GB2312"/>
          <w:sz w:val="28"/>
          <w:szCs w:val="28"/>
          <w:shd w:val="clear" w:color="auto" w:fill="FFFFFF"/>
        </w:rPr>
        <w:t>月</w:t>
      </w:r>
      <w:r>
        <w:rPr>
          <w:rFonts w:hint="eastAsia" w:eastAsia="仿宋_GB2312"/>
          <w:sz w:val="28"/>
          <w:szCs w:val="28"/>
          <w:shd w:val="clear" w:color="auto" w:fill="FFFFFF"/>
          <w:lang w:val="en-US" w:eastAsia="zh-CN"/>
        </w:rPr>
        <w:t>27</w:t>
      </w:r>
      <w:r>
        <w:rPr>
          <w:rFonts w:eastAsia="仿宋_GB2312"/>
          <w:sz w:val="28"/>
          <w:szCs w:val="28"/>
          <w:shd w:val="clear" w:color="auto" w:fill="FFFFFF"/>
        </w:rPr>
        <w:t>日印发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方正小标宋简体">
    <w:altName w:val="方正舒体"/>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ln w="6350">
                        <a:noFill/>
                      </a:ln>
                    </wps:spPr>
                    <wps:style>
                      <a:lnRef idx="0">
                        <a:schemeClr val="accent1"/>
                      </a:lnRef>
                      <a:fillRef idx="0">
                        <a:schemeClr val="accent1"/>
                      </a:fillRef>
                      <a:effectRef idx="0">
                        <a:schemeClr val="accent1"/>
                      </a:effectRef>
                      <a:fontRef idx="minor">
                        <a:schemeClr val="dk1"/>
                      </a:fontRef>
                    </wps:style>
                    <wps:txbx>
                      <w:txbxContent>
                        <w:p>
                          <w:pPr>
                            <w:pStyle w:val="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1NTIzZDhlMzIyZDA4YWVhNjlkMDFhZTk5YmU5OTUifQ=="/>
  </w:docVars>
  <w:rsids>
    <w:rsidRoot w:val="00C210DD"/>
    <w:rsid w:val="000A16E7"/>
    <w:rsid w:val="000B4F7C"/>
    <w:rsid w:val="00105303"/>
    <w:rsid w:val="00113B21"/>
    <w:rsid w:val="00121A10"/>
    <w:rsid w:val="001B4C1F"/>
    <w:rsid w:val="001C109F"/>
    <w:rsid w:val="001E36A4"/>
    <w:rsid w:val="002569BC"/>
    <w:rsid w:val="002A1EC8"/>
    <w:rsid w:val="002B21C2"/>
    <w:rsid w:val="002C724C"/>
    <w:rsid w:val="002D5446"/>
    <w:rsid w:val="002E1DBC"/>
    <w:rsid w:val="003077B1"/>
    <w:rsid w:val="003B0B35"/>
    <w:rsid w:val="0040648A"/>
    <w:rsid w:val="00426A8C"/>
    <w:rsid w:val="00461261"/>
    <w:rsid w:val="00485155"/>
    <w:rsid w:val="004F0873"/>
    <w:rsid w:val="004F2AAF"/>
    <w:rsid w:val="00582314"/>
    <w:rsid w:val="005F649C"/>
    <w:rsid w:val="0061287A"/>
    <w:rsid w:val="00683F1E"/>
    <w:rsid w:val="006C35C6"/>
    <w:rsid w:val="006E2D8C"/>
    <w:rsid w:val="00770853"/>
    <w:rsid w:val="00796A63"/>
    <w:rsid w:val="0084456E"/>
    <w:rsid w:val="008C4CA2"/>
    <w:rsid w:val="00932DEC"/>
    <w:rsid w:val="0096190A"/>
    <w:rsid w:val="009624FB"/>
    <w:rsid w:val="00974D98"/>
    <w:rsid w:val="009752DC"/>
    <w:rsid w:val="009A471A"/>
    <w:rsid w:val="00A03BA6"/>
    <w:rsid w:val="00A37D14"/>
    <w:rsid w:val="00A72518"/>
    <w:rsid w:val="00A9008F"/>
    <w:rsid w:val="00A9684A"/>
    <w:rsid w:val="00AE0D04"/>
    <w:rsid w:val="00B844D5"/>
    <w:rsid w:val="00BC0C33"/>
    <w:rsid w:val="00BD00E0"/>
    <w:rsid w:val="00BF1F2B"/>
    <w:rsid w:val="00C210DD"/>
    <w:rsid w:val="00C64862"/>
    <w:rsid w:val="00D42763"/>
    <w:rsid w:val="00E032FD"/>
    <w:rsid w:val="00E61F30"/>
    <w:rsid w:val="00E74B7D"/>
    <w:rsid w:val="00EF13B5"/>
    <w:rsid w:val="00F2057F"/>
    <w:rsid w:val="00F53FF4"/>
    <w:rsid w:val="00FE18E1"/>
    <w:rsid w:val="02EC2996"/>
    <w:rsid w:val="07E83A26"/>
    <w:rsid w:val="0B6251C3"/>
    <w:rsid w:val="0BE9725B"/>
    <w:rsid w:val="1053332C"/>
    <w:rsid w:val="10F26DB5"/>
    <w:rsid w:val="11A27059"/>
    <w:rsid w:val="18297794"/>
    <w:rsid w:val="186850EA"/>
    <w:rsid w:val="27992BDD"/>
    <w:rsid w:val="2E9D1A1F"/>
    <w:rsid w:val="2F687637"/>
    <w:rsid w:val="300C37CC"/>
    <w:rsid w:val="30F65537"/>
    <w:rsid w:val="318F5B75"/>
    <w:rsid w:val="38163BAB"/>
    <w:rsid w:val="39C22B93"/>
    <w:rsid w:val="39F479AE"/>
    <w:rsid w:val="3ED50CA5"/>
    <w:rsid w:val="3EDE27D7"/>
    <w:rsid w:val="415E56A8"/>
    <w:rsid w:val="4173168B"/>
    <w:rsid w:val="41764F49"/>
    <w:rsid w:val="46C22286"/>
    <w:rsid w:val="4C2F14FE"/>
    <w:rsid w:val="507E3003"/>
    <w:rsid w:val="52680D46"/>
    <w:rsid w:val="53234805"/>
    <w:rsid w:val="57925AB5"/>
    <w:rsid w:val="590D4FDB"/>
    <w:rsid w:val="5F38068C"/>
    <w:rsid w:val="66DB1448"/>
    <w:rsid w:val="6F547DC8"/>
    <w:rsid w:val="77D54BC6"/>
    <w:rsid w:val="78DC1CF6"/>
    <w:rsid w:val="790F4D60"/>
    <w:rsid w:val="7A720A9A"/>
    <w:rsid w:val="7B8A1033"/>
    <w:rsid w:val="7BA05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paragraph" w:customStyle="1" w:styleId="8">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批注框文本 字符"/>
    <w:basedOn w:val="6"/>
    <w:link w:val="2"/>
    <w:semiHidden/>
    <w:qFormat/>
    <w:uiPriority w:val="99"/>
    <w:rPr>
      <w:sz w:val="18"/>
      <w:szCs w:val="18"/>
    </w:rPr>
  </w:style>
  <w:style w:type="paragraph" w:customStyle="1" w:styleId="12">
    <w:name w:val="paragraph"/>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font11"/>
    <w:basedOn w:val="6"/>
    <w:qFormat/>
    <w:uiPriority w:val="0"/>
    <w:rPr>
      <w:rFonts w:hint="eastAsia" w:ascii="宋体" w:hAnsi="宋体" w:eastAsia="宋体" w:cs="宋体"/>
      <w:color w:val="000000"/>
      <w:sz w:val="21"/>
      <w:szCs w:val="21"/>
      <w:u w:val="none"/>
    </w:rPr>
  </w:style>
  <w:style w:type="character" w:customStyle="1" w:styleId="14">
    <w:name w:val="font21"/>
    <w:basedOn w:val="6"/>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268</Words>
  <Characters>1528</Characters>
  <Lines>12</Lines>
  <Paragraphs>3</Paragraphs>
  <TotalTime>33</TotalTime>
  <ScaleCrop>false</ScaleCrop>
  <LinksUpToDate>false</LinksUpToDate>
  <CharactersWithSpaces>1793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2023-02-13T02:57:00Z</dcterms:created>
  <dc:creator>user</dc:creator>
  <cp:lastModifiedBy>栗子</cp:lastModifiedBy>
  <cp:lastPrinted>2023-02-13T06:48:00Z</cp:lastPrinted>
  <dcterms:modified xsi:type="dcterms:W3CDTF">2023-11-27T08:57:40Z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1E2F36332EFF47E280BC66B5E9FF4B24_13</vt:lpwstr>
  </property>
</Properties>
</file>